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0C283">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黑体" w:hAnsi="黑体" w:eastAsia="黑体" w:cs="黑体"/>
          <w:bCs/>
          <w:sz w:val="32"/>
          <w:szCs w:val="32"/>
          <w:lang w:eastAsia="zh-CN"/>
        </w:rPr>
      </w:pPr>
      <w:bookmarkStart w:id="0" w:name="_GoBack"/>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bookmarkEnd w:id="0"/>
    <w:p w14:paraId="42CC060E">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黑体" w:hAnsi="黑体" w:eastAsia="黑体" w:cs="黑体"/>
          <w:bCs/>
          <w:sz w:val="32"/>
          <w:szCs w:val="32"/>
        </w:rPr>
      </w:pPr>
    </w:p>
    <w:p w14:paraId="7730D28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5</w:t>
      </w:r>
      <w:r>
        <w:rPr>
          <w:rFonts w:hint="eastAsia" w:ascii="方正小标宋简体" w:hAnsi="方正小标宋简体" w:eastAsia="方正小标宋简体" w:cs="方正小标宋简体"/>
          <w:bCs/>
          <w:sz w:val="44"/>
          <w:szCs w:val="44"/>
        </w:rPr>
        <w:t>年内蒙古自治区普通玉米</w:t>
      </w:r>
    </w:p>
    <w:p w14:paraId="4961DAB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44"/>
          <w:szCs w:val="44"/>
        </w:rPr>
        <w:t>品种试验实施方案</w:t>
      </w:r>
    </w:p>
    <w:p w14:paraId="6E646B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eastAsia="黑体" w:cs="Times New Roman"/>
          <w:sz w:val="32"/>
          <w:szCs w:val="32"/>
        </w:rPr>
      </w:pPr>
    </w:p>
    <w:p w14:paraId="501A12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一、试验目的</w:t>
      </w:r>
    </w:p>
    <w:p w14:paraId="779947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种子法》《主要农作物品种审定办法》《内蒙古自治区玉米品种审定标准》（2022年修订）有关规定，客观、科学、公正地鉴定评价参试新品种的丰产性、稳产性、适应性、抗逆性、品质及其他重要特征特性，为玉米品种审定提供科学依据。</w:t>
      </w:r>
    </w:p>
    <w:p w14:paraId="0086BE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二、试验组别及单位分工</w:t>
      </w:r>
    </w:p>
    <w:p w14:paraId="65D02C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（一）试验组别</w:t>
      </w:r>
    </w:p>
    <w:p w14:paraId="2C16A9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 w:cs="Times New Roman"/>
          <w:b/>
          <w:sz w:val="10"/>
          <w:szCs w:val="10"/>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内蒙古普通玉米品种试验设超早熟、极早熟、早熟、中早熟、中熟、中晚熟和高密度组等7个组别，每组分设一年区域试验（一年区试）、二年区域试验（二年区试）和生产试验（生试），对照品种、种植密度见表1。</w:t>
      </w:r>
    </w:p>
    <w:p w14:paraId="3C6D1006">
      <w:pPr>
        <w:keepNext w:val="0"/>
        <w:keepLines w:val="0"/>
        <w:pageBreakBefore w:val="0"/>
        <w:kinsoku/>
        <w:wordWrap/>
        <w:overflowPunct/>
        <w:topLinePunct w:val="0"/>
        <w:autoSpaceDE/>
        <w:autoSpaceDN/>
        <w:bidi w:val="0"/>
        <w:adjustRightInd w:val="0"/>
        <w:snapToGrid w:val="0"/>
        <w:spacing w:line="560" w:lineRule="exact"/>
        <w:ind w:firstLine="562"/>
        <w:jc w:val="center"/>
        <w:rPr>
          <w:rFonts w:ascii="Times New Roman" w:hAnsi="Times New Roman" w:eastAsia="仿宋" w:cs="Times New Roman"/>
          <w:sz w:val="28"/>
          <w:szCs w:val="28"/>
        </w:rPr>
      </w:pPr>
      <w:r>
        <w:rPr>
          <w:rFonts w:ascii="Times New Roman" w:hAnsi="Times New Roman" w:eastAsia="仿宋" w:cs="Times New Roman"/>
          <w:b/>
          <w:sz w:val="28"/>
          <w:szCs w:val="28"/>
        </w:rPr>
        <w:t>表1  202</w:t>
      </w:r>
      <w:r>
        <w:rPr>
          <w:rFonts w:hint="eastAsia" w:ascii="Times New Roman" w:hAnsi="Times New Roman" w:eastAsia="仿宋" w:cs="Times New Roman"/>
          <w:b/>
          <w:sz w:val="28"/>
          <w:szCs w:val="28"/>
          <w:lang w:val="en-US" w:eastAsia="zh-CN"/>
        </w:rPr>
        <w:t>5</w:t>
      </w:r>
      <w:r>
        <w:rPr>
          <w:rFonts w:ascii="Times New Roman" w:hAnsi="Times New Roman" w:eastAsia="仿宋" w:cs="Times New Roman"/>
          <w:b/>
          <w:sz w:val="28"/>
          <w:szCs w:val="28"/>
        </w:rPr>
        <w:t>年普通玉米熟期组</w:t>
      </w:r>
      <w:r>
        <w:rPr>
          <w:rFonts w:ascii="Times New Roman" w:hAnsi="Times New Roman" w:eastAsia="仿宋" w:cs="Times New Roman"/>
          <w:b/>
          <w:sz w:val="28"/>
          <w:szCs w:val="28"/>
          <w:highlight w:val="none"/>
        </w:rPr>
        <w:t>别和</w:t>
      </w:r>
      <w:r>
        <w:rPr>
          <w:rFonts w:hint="eastAsia" w:ascii="Times New Roman" w:hAnsi="Times New Roman" w:eastAsia="仿宋" w:cs="Times New Roman"/>
          <w:b/>
          <w:sz w:val="28"/>
          <w:szCs w:val="28"/>
          <w:highlight w:val="none"/>
        </w:rPr>
        <w:t>相应</w:t>
      </w:r>
      <w:r>
        <w:rPr>
          <w:rFonts w:ascii="Times New Roman" w:hAnsi="Times New Roman" w:eastAsia="仿宋" w:cs="Times New Roman"/>
          <w:b/>
          <w:sz w:val="28"/>
          <w:szCs w:val="28"/>
          <w:highlight w:val="none"/>
        </w:rPr>
        <w:t>对照</w:t>
      </w:r>
      <w:r>
        <w:rPr>
          <w:rFonts w:hint="eastAsia" w:ascii="Times New Roman" w:hAnsi="Times New Roman" w:eastAsia="仿宋" w:cs="Times New Roman"/>
          <w:b/>
          <w:sz w:val="28"/>
          <w:szCs w:val="28"/>
          <w:highlight w:val="none"/>
        </w:rPr>
        <w:t>品种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3628"/>
        <w:gridCol w:w="2841"/>
      </w:tblGrid>
      <w:tr w14:paraId="12C2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blHeader/>
          <w:jc w:val="center"/>
        </w:trPr>
        <w:tc>
          <w:tcPr>
            <w:tcW w:w="2053" w:type="dxa"/>
            <w:vAlign w:val="center"/>
          </w:tcPr>
          <w:p w14:paraId="6EE8733C">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b/>
                <w:sz w:val="24"/>
              </w:rPr>
            </w:pPr>
            <w:r>
              <w:rPr>
                <w:rFonts w:ascii="Times New Roman" w:hAnsi="Times New Roman" w:eastAsia="宋体" w:cs="Times New Roman"/>
                <w:b/>
                <w:sz w:val="24"/>
              </w:rPr>
              <w:t>组</w:t>
            </w:r>
            <w:r>
              <w:rPr>
                <w:rFonts w:hint="eastAsia" w:ascii="Times New Roman" w:hAnsi="Times New Roman" w:eastAsia="宋体" w:cs="Times New Roman"/>
                <w:b/>
                <w:sz w:val="24"/>
              </w:rPr>
              <w:t xml:space="preserve">  </w:t>
            </w:r>
            <w:r>
              <w:rPr>
                <w:rFonts w:ascii="Times New Roman" w:hAnsi="Times New Roman" w:eastAsia="宋体" w:cs="Times New Roman"/>
                <w:b/>
                <w:sz w:val="24"/>
              </w:rPr>
              <w:t>别</w:t>
            </w:r>
          </w:p>
        </w:tc>
        <w:tc>
          <w:tcPr>
            <w:tcW w:w="3628" w:type="dxa"/>
            <w:vAlign w:val="center"/>
          </w:tcPr>
          <w:p w14:paraId="09142587">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b/>
                <w:sz w:val="24"/>
              </w:rPr>
            </w:pPr>
            <w:r>
              <w:rPr>
                <w:rFonts w:ascii="Times New Roman" w:hAnsi="Times New Roman" w:eastAsia="宋体" w:cs="Times New Roman"/>
                <w:b/>
                <w:sz w:val="24"/>
              </w:rPr>
              <w:t>对照品种</w:t>
            </w:r>
          </w:p>
        </w:tc>
        <w:tc>
          <w:tcPr>
            <w:tcW w:w="2841" w:type="dxa"/>
            <w:vAlign w:val="center"/>
          </w:tcPr>
          <w:p w14:paraId="4035C65E">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b/>
                <w:sz w:val="24"/>
              </w:rPr>
            </w:pPr>
            <w:r>
              <w:rPr>
                <w:rFonts w:ascii="Times New Roman" w:hAnsi="Times New Roman" w:eastAsia="宋体" w:cs="Times New Roman"/>
                <w:b/>
                <w:sz w:val="24"/>
              </w:rPr>
              <w:t>种植密度（株/亩）</w:t>
            </w:r>
          </w:p>
        </w:tc>
      </w:tr>
      <w:tr w14:paraId="638B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53" w:type="dxa"/>
            <w:vAlign w:val="center"/>
          </w:tcPr>
          <w:p w14:paraId="6171BF87">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超早熟组</w:t>
            </w:r>
          </w:p>
        </w:tc>
        <w:tc>
          <w:tcPr>
            <w:tcW w:w="3628" w:type="dxa"/>
            <w:vAlign w:val="center"/>
          </w:tcPr>
          <w:p w14:paraId="4CB5AABC">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Times New Roman" w:hAnsi="Times New Roman" w:eastAsia="宋体" w:cs="Times New Roman"/>
                <w:sz w:val="24"/>
                <w:lang w:eastAsia="zh-CN"/>
              </w:rPr>
            </w:pPr>
            <w:r>
              <w:rPr>
                <w:rFonts w:ascii="Times New Roman" w:hAnsi="Times New Roman" w:eastAsia="宋体" w:cs="Times New Roman"/>
                <w:color w:val="000000" w:themeColor="text1"/>
                <w:sz w:val="24"/>
                <w:highlight w:val="none"/>
                <w14:textFill>
                  <w14:solidFill>
                    <w14:schemeClr w14:val="tx1"/>
                  </w14:solidFill>
                </w14:textFill>
              </w:rPr>
              <w:t>德美亚2号</w:t>
            </w:r>
          </w:p>
        </w:tc>
        <w:tc>
          <w:tcPr>
            <w:tcW w:w="2841" w:type="dxa"/>
            <w:vAlign w:val="center"/>
          </w:tcPr>
          <w:p w14:paraId="6F1B43AA">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b/>
                <w:sz w:val="24"/>
              </w:rPr>
            </w:pPr>
            <w:r>
              <w:rPr>
                <w:rFonts w:ascii="Times New Roman" w:hAnsi="Times New Roman" w:eastAsia="宋体" w:cs="Times New Roman"/>
                <w:sz w:val="24"/>
              </w:rPr>
              <w:t>6000</w:t>
            </w:r>
          </w:p>
        </w:tc>
      </w:tr>
      <w:tr w14:paraId="2E9A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53" w:type="dxa"/>
            <w:vAlign w:val="center"/>
          </w:tcPr>
          <w:p w14:paraId="16075A60">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极早熟组</w:t>
            </w:r>
          </w:p>
        </w:tc>
        <w:tc>
          <w:tcPr>
            <w:tcW w:w="3628" w:type="dxa"/>
            <w:vAlign w:val="center"/>
          </w:tcPr>
          <w:p w14:paraId="036938F3">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sz w:val="24"/>
              </w:rPr>
            </w:pPr>
            <w:r>
              <w:rPr>
                <w:rFonts w:ascii="Times New Roman" w:hAnsi="Times New Roman" w:eastAsia="宋体" w:cs="Times New Roman"/>
                <w:color w:val="000000" w:themeColor="text1"/>
                <w:sz w:val="24"/>
                <w:highlight w:val="none"/>
                <w14:textFill>
                  <w14:solidFill>
                    <w14:schemeClr w14:val="tx1"/>
                  </w14:solidFill>
                </w14:textFill>
              </w:rPr>
              <w:t>德美亚1号</w:t>
            </w:r>
          </w:p>
        </w:tc>
        <w:tc>
          <w:tcPr>
            <w:tcW w:w="2841" w:type="dxa"/>
            <w:vAlign w:val="center"/>
          </w:tcPr>
          <w:p w14:paraId="149343AE">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b/>
                <w:sz w:val="24"/>
              </w:rPr>
            </w:pPr>
            <w:r>
              <w:rPr>
                <w:rFonts w:ascii="Times New Roman" w:hAnsi="Times New Roman" w:eastAsia="宋体" w:cs="Times New Roman"/>
                <w:sz w:val="24"/>
              </w:rPr>
              <w:t>6000</w:t>
            </w:r>
          </w:p>
        </w:tc>
      </w:tr>
      <w:tr w14:paraId="7E74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53" w:type="dxa"/>
            <w:vAlign w:val="center"/>
          </w:tcPr>
          <w:p w14:paraId="5B2AAD95">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早熟组</w:t>
            </w:r>
          </w:p>
        </w:tc>
        <w:tc>
          <w:tcPr>
            <w:tcW w:w="3628" w:type="dxa"/>
            <w:vAlign w:val="center"/>
          </w:tcPr>
          <w:p w14:paraId="052D4B96">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德美亚3号</w:t>
            </w:r>
          </w:p>
        </w:tc>
        <w:tc>
          <w:tcPr>
            <w:tcW w:w="2841" w:type="dxa"/>
            <w:vAlign w:val="center"/>
          </w:tcPr>
          <w:p w14:paraId="2D45B2B1">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b/>
                <w:sz w:val="24"/>
              </w:rPr>
            </w:pPr>
            <w:r>
              <w:rPr>
                <w:rFonts w:ascii="Times New Roman" w:hAnsi="Times New Roman" w:eastAsia="宋体" w:cs="Times New Roman"/>
                <w:sz w:val="24"/>
              </w:rPr>
              <w:t>5000</w:t>
            </w:r>
          </w:p>
        </w:tc>
      </w:tr>
      <w:tr w14:paraId="496D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53" w:type="dxa"/>
            <w:vAlign w:val="center"/>
          </w:tcPr>
          <w:p w14:paraId="199A136E">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中早熟组</w:t>
            </w:r>
          </w:p>
        </w:tc>
        <w:tc>
          <w:tcPr>
            <w:tcW w:w="3628" w:type="dxa"/>
            <w:vAlign w:val="center"/>
          </w:tcPr>
          <w:p w14:paraId="08E7A52D">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和育187</w:t>
            </w:r>
          </w:p>
        </w:tc>
        <w:tc>
          <w:tcPr>
            <w:tcW w:w="2841" w:type="dxa"/>
            <w:vAlign w:val="center"/>
          </w:tcPr>
          <w:p w14:paraId="32F5AFD5">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b/>
                <w:sz w:val="24"/>
              </w:rPr>
            </w:pPr>
            <w:r>
              <w:rPr>
                <w:rFonts w:ascii="Times New Roman" w:hAnsi="Times New Roman" w:eastAsia="宋体" w:cs="Times New Roman"/>
                <w:sz w:val="24"/>
              </w:rPr>
              <w:t>4500</w:t>
            </w:r>
          </w:p>
        </w:tc>
      </w:tr>
      <w:tr w14:paraId="68F2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53" w:type="dxa"/>
            <w:vAlign w:val="center"/>
          </w:tcPr>
          <w:p w14:paraId="1B30895D">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中熟组</w:t>
            </w:r>
          </w:p>
        </w:tc>
        <w:tc>
          <w:tcPr>
            <w:tcW w:w="3628" w:type="dxa"/>
            <w:vAlign w:val="center"/>
          </w:tcPr>
          <w:p w14:paraId="2FA1E03A">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先玉335</w:t>
            </w:r>
          </w:p>
        </w:tc>
        <w:tc>
          <w:tcPr>
            <w:tcW w:w="2841" w:type="dxa"/>
            <w:vAlign w:val="center"/>
          </w:tcPr>
          <w:p w14:paraId="1C1AA7A0">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b/>
                <w:sz w:val="24"/>
              </w:rPr>
            </w:pPr>
            <w:r>
              <w:rPr>
                <w:rFonts w:ascii="Times New Roman" w:hAnsi="Times New Roman" w:eastAsia="宋体" w:cs="Times New Roman"/>
                <w:sz w:val="24"/>
              </w:rPr>
              <w:t>4500</w:t>
            </w:r>
          </w:p>
        </w:tc>
      </w:tr>
      <w:tr w14:paraId="74E1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2053" w:type="dxa"/>
            <w:vAlign w:val="center"/>
          </w:tcPr>
          <w:p w14:paraId="67BAE8F1">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中晚熟组</w:t>
            </w:r>
          </w:p>
        </w:tc>
        <w:tc>
          <w:tcPr>
            <w:tcW w:w="3628" w:type="dxa"/>
            <w:vAlign w:val="center"/>
          </w:tcPr>
          <w:p w14:paraId="020F4608">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利禾1</w:t>
            </w:r>
          </w:p>
        </w:tc>
        <w:tc>
          <w:tcPr>
            <w:tcW w:w="2841" w:type="dxa"/>
            <w:vAlign w:val="center"/>
          </w:tcPr>
          <w:p w14:paraId="4750B4C4">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b/>
                <w:sz w:val="24"/>
              </w:rPr>
            </w:pPr>
            <w:r>
              <w:rPr>
                <w:rFonts w:ascii="Times New Roman" w:hAnsi="Times New Roman" w:eastAsia="宋体" w:cs="Times New Roman"/>
                <w:sz w:val="24"/>
              </w:rPr>
              <w:t>4500</w:t>
            </w:r>
          </w:p>
        </w:tc>
      </w:tr>
      <w:tr w14:paraId="1E01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2053" w:type="dxa"/>
            <w:vAlign w:val="center"/>
          </w:tcPr>
          <w:p w14:paraId="3D7E4C26">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sz w:val="24"/>
              </w:rPr>
            </w:pPr>
            <w:r>
              <w:rPr>
                <w:rFonts w:ascii="Times New Roman" w:hAnsi="Times New Roman" w:eastAsia="宋体" w:cs="Times New Roman"/>
                <w:sz w:val="24"/>
              </w:rPr>
              <w:t>高密度组</w:t>
            </w:r>
          </w:p>
        </w:tc>
        <w:tc>
          <w:tcPr>
            <w:tcW w:w="3628" w:type="dxa"/>
            <w:vAlign w:val="center"/>
          </w:tcPr>
          <w:p w14:paraId="35217F70">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迪卡159</w:t>
            </w:r>
          </w:p>
        </w:tc>
        <w:tc>
          <w:tcPr>
            <w:tcW w:w="2841" w:type="dxa"/>
            <w:vAlign w:val="center"/>
          </w:tcPr>
          <w:p w14:paraId="54B1CCF2">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ascii="Times New Roman" w:hAnsi="Times New Roman" w:eastAsia="宋体" w:cs="Times New Roman"/>
                <w:b/>
                <w:sz w:val="24"/>
                <w:highlight w:val="none"/>
              </w:rPr>
            </w:pPr>
            <w:r>
              <w:rPr>
                <w:rFonts w:hint="eastAsia" w:ascii="Times New Roman" w:hAnsi="Times New Roman" w:eastAsia="宋体" w:cs="Times New Roman"/>
                <w:sz w:val="24"/>
                <w:highlight w:val="none"/>
              </w:rPr>
              <w:t>60</w:t>
            </w:r>
            <w:r>
              <w:rPr>
                <w:rFonts w:ascii="Times New Roman" w:hAnsi="Times New Roman" w:eastAsia="宋体" w:cs="Times New Roman"/>
                <w:sz w:val="24"/>
                <w:highlight w:val="none"/>
              </w:rPr>
              <w:t>00</w:t>
            </w:r>
          </w:p>
        </w:tc>
      </w:tr>
    </w:tbl>
    <w:p w14:paraId="493282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（二）组织单位</w:t>
      </w:r>
    </w:p>
    <w:p w14:paraId="7C4523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内蒙古自治区农牧业技术推广中心种业发展处，负责试验方案的制定、试验组织、执行情况监督检查等工作。</w:t>
      </w:r>
    </w:p>
    <w:p w14:paraId="6E621E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联系人：张鹏宇</w:t>
      </w:r>
      <w:r>
        <w:rPr>
          <w:rFonts w:hint="eastAsia" w:ascii="仿宋_GB2312" w:hAnsi="仿宋_GB2312" w:eastAsia="仿宋_GB2312" w:cs="仿宋_GB2312"/>
          <w:sz w:val="32"/>
          <w:szCs w:val="32"/>
          <w:lang w:val="en-US" w:eastAsia="zh-CN"/>
        </w:rPr>
        <w:t xml:space="preserve"> </w:t>
      </w:r>
    </w:p>
    <w:p w14:paraId="484947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  址：呼和浩特市新城区呼伦北路13号 </w:t>
      </w:r>
    </w:p>
    <w:p w14:paraId="5C99BF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编：010010</w:t>
      </w:r>
    </w:p>
    <w:p w14:paraId="588F43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话：0471-6286603</w:t>
      </w:r>
    </w:p>
    <w:p w14:paraId="2D61D1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E-mail：</w:t>
      </w:r>
      <w:r>
        <w:rPr>
          <w:rFonts w:hint="eastAsia" w:ascii="仿宋_GB2312" w:hAnsi="仿宋_GB2312" w:eastAsia="仿宋_GB2312" w:cs="仿宋_GB2312"/>
          <w:sz w:val="32"/>
          <w:szCs w:val="32"/>
          <w:lang w:val="en-US" w:eastAsia="zh-CN"/>
        </w:rPr>
        <w:t>zyfzczpy@163.com</w:t>
      </w:r>
    </w:p>
    <w:p w14:paraId="4317E0B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（三）主持单位</w:t>
      </w:r>
    </w:p>
    <w:p w14:paraId="6BACE6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eastAsia="仿宋" w:cs="Times New Roman"/>
          <w:b/>
          <w:sz w:val="28"/>
          <w:szCs w:val="28"/>
        </w:rPr>
      </w:pPr>
      <w:r>
        <w:rPr>
          <w:rFonts w:hint="eastAsia" w:ascii="仿宋_GB2312" w:hAnsi="仿宋_GB2312" w:eastAsia="仿宋_GB2312" w:cs="仿宋_GB2312"/>
          <w:sz w:val="32"/>
          <w:szCs w:val="32"/>
        </w:rPr>
        <w:t>负责试验方案执行、技术咨询、技术指导、试验汇总等工作。各组别的主持单位与联系方式见表2。</w:t>
      </w:r>
    </w:p>
    <w:p w14:paraId="2F8A1036">
      <w:pPr>
        <w:keepNext w:val="0"/>
        <w:keepLines w:val="0"/>
        <w:pageBreakBefore w:val="0"/>
        <w:kinsoku/>
        <w:wordWrap/>
        <w:overflowPunct/>
        <w:topLinePunct w:val="0"/>
        <w:autoSpaceDE/>
        <w:autoSpaceDN/>
        <w:bidi w:val="0"/>
        <w:adjustRightInd w:val="0"/>
        <w:snapToGrid w:val="0"/>
        <w:spacing w:line="560" w:lineRule="exact"/>
        <w:ind w:firstLine="562"/>
        <w:jc w:val="both"/>
        <w:rPr>
          <w:rFonts w:ascii="Times New Roman" w:hAnsi="Times New Roman" w:eastAsia="仿宋_GB2312" w:cs="Times New Roman"/>
          <w:sz w:val="32"/>
          <w:szCs w:val="32"/>
        </w:rPr>
      </w:pPr>
      <w:r>
        <w:rPr>
          <w:rFonts w:ascii="Times New Roman" w:hAnsi="Times New Roman" w:eastAsia="仿宋" w:cs="Times New Roman"/>
          <w:b/>
          <w:sz w:val="28"/>
          <w:szCs w:val="28"/>
        </w:rPr>
        <w:t>表2  202</w:t>
      </w:r>
      <w:r>
        <w:rPr>
          <w:rFonts w:hint="eastAsia" w:ascii="Times New Roman" w:hAnsi="Times New Roman" w:eastAsia="仿宋" w:cs="Times New Roman"/>
          <w:b/>
          <w:sz w:val="28"/>
          <w:szCs w:val="28"/>
          <w:lang w:val="en-US" w:eastAsia="zh-CN"/>
        </w:rPr>
        <w:t>5</w:t>
      </w:r>
      <w:r>
        <w:rPr>
          <w:rFonts w:ascii="Times New Roman" w:hAnsi="Times New Roman" w:eastAsia="仿宋" w:cs="Times New Roman"/>
          <w:b/>
          <w:sz w:val="28"/>
          <w:szCs w:val="28"/>
        </w:rPr>
        <w:t>年内蒙古自治区普通玉米试验主持单位与联系方式</w:t>
      </w:r>
    </w:p>
    <w:tbl>
      <w:tblPr>
        <w:tblStyle w:val="6"/>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959"/>
        <w:gridCol w:w="1276"/>
        <w:gridCol w:w="1559"/>
        <w:gridCol w:w="770"/>
        <w:gridCol w:w="1295"/>
        <w:gridCol w:w="789"/>
        <w:gridCol w:w="2452"/>
      </w:tblGrid>
      <w:tr w14:paraId="1CBC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5" w:hRule="atLeast"/>
          <w:tblHeader/>
          <w:jc w:val="center"/>
        </w:trPr>
        <w:tc>
          <w:tcPr>
            <w:tcW w:w="959" w:type="dxa"/>
            <w:vAlign w:val="center"/>
          </w:tcPr>
          <w:p w14:paraId="3862EC98">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szCs w:val="21"/>
              </w:rPr>
            </w:pPr>
            <w:r>
              <w:rPr>
                <w:rFonts w:hint="eastAsia" w:ascii="宋体" w:hAnsi="宋体" w:eastAsia="宋体" w:cs="宋体"/>
                <w:b/>
                <w:szCs w:val="21"/>
              </w:rPr>
              <w:t>熟期组</w:t>
            </w:r>
          </w:p>
        </w:tc>
        <w:tc>
          <w:tcPr>
            <w:tcW w:w="1276" w:type="dxa"/>
            <w:vAlign w:val="center"/>
          </w:tcPr>
          <w:p w14:paraId="6F2CEF2A">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szCs w:val="21"/>
              </w:rPr>
            </w:pPr>
            <w:r>
              <w:rPr>
                <w:rFonts w:hint="eastAsia" w:ascii="宋体" w:hAnsi="宋体" w:eastAsia="宋体" w:cs="宋体"/>
                <w:b/>
                <w:szCs w:val="21"/>
              </w:rPr>
              <w:t>主持单位</w:t>
            </w:r>
          </w:p>
        </w:tc>
        <w:tc>
          <w:tcPr>
            <w:tcW w:w="1559" w:type="dxa"/>
            <w:vAlign w:val="center"/>
          </w:tcPr>
          <w:p w14:paraId="48C47A8E">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szCs w:val="21"/>
              </w:rPr>
            </w:pPr>
            <w:r>
              <w:rPr>
                <w:rFonts w:hint="eastAsia" w:ascii="宋体" w:hAnsi="宋体" w:eastAsia="宋体" w:cs="宋体"/>
                <w:b/>
                <w:szCs w:val="21"/>
              </w:rPr>
              <w:t>地  址</w:t>
            </w:r>
          </w:p>
        </w:tc>
        <w:tc>
          <w:tcPr>
            <w:tcW w:w="770" w:type="dxa"/>
            <w:vAlign w:val="center"/>
          </w:tcPr>
          <w:p w14:paraId="624D909C">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szCs w:val="21"/>
              </w:rPr>
            </w:pPr>
            <w:r>
              <w:rPr>
                <w:rFonts w:hint="eastAsia" w:ascii="宋体" w:hAnsi="宋体" w:eastAsia="宋体" w:cs="宋体"/>
                <w:b/>
                <w:szCs w:val="21"/>
              </w:rPr>
              <w:t>主持人</w:t>
            </w:r>
          </w:p>
        </w:tc>
        <w:tc>
          <w:tcPr>
            <w:tcW w:w="1295" w:type="dxa"/>
            <w:vAlign w:val="center"/>
          </w:tcPr>
          <w:p w14:paraId="5A1AB8D4">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szCs w:val="21"/>
              </w:rPr>
            </w:pPr>
            <w:r>
              <w:rPr>
                <w:rFonts w:hint="eastAsia" w:ascii="宋体" w:hAnsi="宋体" w:eastAsia="宋体" w:cs="宋体"/>
                <w:b/>
                <w:szCs w:val="21"/>
              </w:rPr>
              <w:t>电话</w:t>
            </w:r>
          </w:p>
        </w:tc>
        <w:tc>
          <w:tcPr>
            <w:tcW w:w="789" w:type="dxa"/>
            <w:vAlign w:val="center"/>
          </w:tcPr>
          <w:p w14:paraId="2C88EE80">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szCs w:val="21"/>
              </w:rPr>
            </w:pPr>
            <w:r>
              <w:rPr>
                <w:rFonts w:hint="eastAsia" w:ascii="宋体" w:hAnsi="宋体" w:eastAsia="宋体" w:cs="宋体"/>
                <w:b/>
                <w:szCs w:val="21"/>
              </w:rPr>
              <w:t>邮编</w:t>
            </w:r>
          </w:p>
        </w:tc>
        <w:tc>
          <w:tcPr>
            <w:tcW w:w="2452" w:type="dxa"/>
            <w:vAlign w:val="center"/>
          </w:tcPr>
          <w:p w14:paraId="158022CB">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szCs w:val="21"/>
              </w:rPr>
            </w:pPr>
            <w:r>
              <w:rPr>
                <w:rFonts w:hint="eastAsia" w:ascii="宋体" w:hAnsi="宋体" w:eastAsia="宋体" w:cs="宋体"/>
                <w:b/>
                <w:szCs w:val="21"/>
              </w:rPr>
              <w:t>邮箱</w:t>
            </w:r>
          </w:p>
        </w:tc>
      </w:tr>
      <w:tr w14:paraId="0844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959" w:type="dxa"/>
            <w:vAlign w:val="center"/>
          </w:tcPr>
          <w:p w14:paraId="10DD3561">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超早熟</w:t>
            </w:r>
          </w:p>
          <w:p w14:paraId="130EC4CD">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极早熟</w:t>
            </w:r>
          </w:p>
          <w:p w14:paraId="5369730A">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早熟组</w:t>
            </w:r>
          </w:p>
        </w:tc>
        <w:tc>
          <w:tcPr>
            <w:tcW w:w="1276" w:type="dxa"/>
            <w:vAlign w:val="center"/>
          </w:tcPr>
          <w:p w14:paraId="464743A9">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呼伦贝尔市农牧技术推广中心</w:t>
            </w:r>
          </w:p>
        </w:tc>
        <w:tc>
          <w:tcPr>
            <w:tcW w:w="1559" w:type="dxa"/>
            <w:vAlign w:val="center"/>
          </w:tcPr>
          <w:p w14:paraId="5A88C9A9">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呼伦贝尔市海拉尔区河东胜利大街3号</w:t>
            </w:r>
          </w:p>
        </w:tc>
        <w:tc>
          <w:tcPr>
            <w:tcW w:w="770" w:type="dxa"/>
            <w:vAlign w:val="center"/>
          </w:tcPr>
          <w:p w14:paraId="5EDBB89C">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szCs w:val="21"/>
              </w:rPr>
            </w:pPr>
            <w:r>
              <w:rPr>
                <w:rFonts w:hint="eastAsia" w:ascii="宋体" w:hAnsi="宋体" w:eastAsia="宋体" w:cs="宋体"/>
                <w:szCs w:val="21"/>
              </w:rPr>
              <w:t>李洪波</w:t>
            </w:r>
          </w:p>
        </w:tc>
        <w:tc>
          <w:tcPr>
            <w:tcW w:w="1295" w:type="dxa"/>
            <w:vAlign w:val="center"/>
          </w:tcPr>
          <w:p w14:paraId="5F0E973F">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szCs w:val="21"/>
              </w:rPr>
            </w:pPr>
            <w:r>
              <w:rPr>
                <w:rFonts w:hint="eastAsia" w:ascii="宋体" w:hAnsi="宋体" w:eastAsia="宋体" w:cs="宋体"/>
                <w:szCs w:val="21"/>
              </w:rPr>
              <w:t>15204980530</w:t>
            </w:r>
          </w:p>
        </w:tc>
        <w:tc>
          <w:tcPr>
            <w:tcW w:w="789" w:type="dxa"/>
            <w:vAlign w:val="center"/>
          </w:tcPr>
          <w:p w14:paraId="43971B6C">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szCs w:val="21"/>
              </w:rPr>
            </w:pPr>
            <w:r>
              <w:rPr>
                <w:rFonts w:hint="eastAsia" w:ascii="宋体" w:hAnsi="宋体" w:eastAsia="宋体" w:cs="宋体"/>
                <w:szCs w:val="21"/>
              </w:rPr>
              <w:t>021008</w:t>
            </w:r>
          </w:p>
        </w:tc>
        <w:tc>
          <w:tcPr>
            <w:tcW w:w="2452" w:type="dxa"/>
            <w:vAlign w:val="center"/>
          </w:tcPr>
          <w:p w14:paraId="64F78425">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Lihongbo_1983@163.com</w:t>
            </w:r>
          </w:p>
        </w:tc>
      </w:tr>
      <w:tr w14:paraId="1383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00" w:hRule="atLeast"/>
          <w:jc w:val="center"/>
        </w:trPr>
        <w:tc>
          <w:tcPr>
            <w:tcW w:w="959" w:type="dxa"/>
            <w:vAlign w:val="center"/>
          </w:tcPr>
          <w:p w14:paraId="65415A02">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中早熟</w:t>
            </w:r>
          </w:p>
          <w:p w14:paraId="2016700A">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中熟组</w:t>
            </w:r>
          </w:p>
          <w:p w14:paraId="3F8C07F3">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高密度</w:t>
            </w:r>
          </w:p>
        </w:tc>
        <w:tc>
          <w:tcPr>
            <w:tcW w:w="1276" w:type="dxa"/>
            <w:vAlign w:val="center"/>
          </w:tcPr>
          <w:p w14:paraId="27AEC432">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包头市农牧科学技术研究所</w:t>
            </w:r>
          </w:p>
        </w:tc>
        <w:tc>
          <w:tcPr>
            <w:tcW w:w="1559" w:type="dxa"/>
            <w:vAlign w:val="center"/>
          </w:tcPr>
          <w:p w14:paraId="24FBECB6">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包头市九原区麻池镇</w:t>
            </w:r>
          </w:p>
        </w:tc>
        <w:tc>
          <w:tcPr>
            <w:tcW w:w="770" w:type="dxa"/>
            <w:vAlign w:val="center"/>
          </w:tcPr>
          <w:p w14:paraId="372EB67E">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李文霞</w:t>
            </w:r>
          </w:p>
        </w:tc>
        <w:tc>
          <w:tcPr>
            <w:tcW w:w="1295" w:type="dxa"/>
            <w:vAlign w:val="center"/>
          </w:tcPr>
          <w:p w14:paraId="7A61A29F">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18504721535</w:t>
            </w:r>
          </w:p>
        </w:tc>
        <w:tc>
          <w:tcPr>
            <w:tcW w:w="789" w:type="dxa"/>
            <w:vAlign w:val="center"/>
          </w:tcPr>
          <w:p w14:paraId="01B75C74">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014013</w:t>
            </w:r>
          </w:p>
        </w:tc>
        <w:tc>
          <w:tcPr>
            <w:tcW w:w="2452" w:type="dxa"/>
            <w:vAlign w:val="center"/>
          </w:tcPr>
          <w:p w14:paraId="74B5B87C">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btnyslwx@163.com</w:t>
            </w:r>
          </w:p>
        </w:tc>
      </w:tr>
      <w:tr w14:paraId="4F5F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82" w:hRule="atLeast"/>
          <w:jc w:val="center"/>
        </w:trPr>
        <w:tc>
          <w:tcPr>
            <w:tcW w:w="959" w:type="dxa"/>
            <w:vAlign w:val="center"/>
          </w:tcPr>
          <w:p w14:paraId="0C1F437C">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中晚熟</w:t>
            </w:r>
          </w:p>
        </w:tc>
        <w:tc>
          <w:tcPr>
            <w:tcW w:w="1276" w:type="dxa"/>
            <w:vAlign w:val="center"/>
          </w:tcPr>
          <w:p w14:paraId="34908125">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赤峰市农牧技术推广中心</w:t>
            </w:r>
          </w:p>
        </w:tc>
        <w:tc>
          <w:tcPr>
            <w:tcW w:w="1559" w:type="dxa"/>
            <w:vAlign w:val="center"/>
          </w:tcPr>
          <w:p w14:paraId="22106316">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赤峰市红山区钢铁西街151号</w:t>
            </w:r>
          </w:p>
        </w:tc>
        <w:tc>
          <w:tcPr>
            <w:tcW w:w="770" w:type="dxa"/>
            <w:vAlign w:val="center"/>
          </w:tcPr>
          <w:p w14:paraId="172DFB4E">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szCs w:val="21"/>
              </w:rPr>
            </w:pPr>
            <w:r>
              <w:rPr>
                <w:rFonts w:hint="eastAsia" w:ascii="宋体" w:hAnsi="宋体" w:eastAsia="宋体" w:cs="宋体"/>
                <w:szCs w:val="21"/>
              </w:rPr>
              <w:t>仲  澎</w:t>
            </w:r>
          </w:p>
        </w:tc>
        <w:tc>
          <w:tcPr>
            <w:tcW w:w="1295" w:type="dxa"/>
            <w:vAlign w:val="center"/>
          </w:tcPr>
          <w:p w14:paraId="7F0D0051">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szCs w:val="21"/>
              </w:rPr>
            </w:pPr>
            <w:r>
              <w:rPr>
                <w:rFonts w:hint="eastAsia" w:ascii="宋体" w:hAnsi="宋体" w:eastAsia="宋体" w:cs="宋体"/>
                <w:szCs w:val="21"/>
              </w:rPr>
              <w:t>13624761481</w:t>
            </w:r>
          </w:p>
        </w:tc>
        <w:tc>
          <w:tcPr>
            <w:tcW w:w="789" w:type="dxa"/>
            <w:vAlign w:val="center"/>
          </w:tcPr>
          <w:p w14:paraId="054A374D">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b/>
                <w:szCs w:val="21"/>
              </w:rPr>
            </w:pPr>
            <w:r>
              <w:rPr>
                <w:rFonts w:hint="eastAsia" w:ascii="宋体" w:hAnsi="宋体" w:eastAsia="宋体" w:cs="宋体"/>
                <w:szCs w:val="21"/>
              </w:rPr>
              <w:t>024000</w:t>
            </w:r>
          </w:p>
        </w:tc>
        <w:tc>
          <w:tcPr>
            <w:tcW w:w="2452" w:type="dxa"/>
            <w:vAlign w:val="center"/>
          </w:tcPr>
          <w:p w14:paraId="511566BF">
            <w:pPr>
              <w:keepNext w:val="0"/>
              <w:keepLines w:val="0"/>
              <w:pageBreakBefore w:val="0"/>
              <w:kinsoku/>
              <w:wordWrap/>
              <w:overflowPunct/>
              <w:topLinePunct w:val="0"/>
              <w:autoSpaceDE/>
              <w:autoSpaceDN/>
              <w:bidi w:val="0"/>
              <w:adjustRightInd w:val="0"/>
              <w:snapToGrid w:val="0"/>
              <w:spacing w:line="560" w:lineRule="exact"/>
              <w:jc w:val="center"/>
              <w:rPr>
                <w:rFonts w:hint="eastAsia" w:ascii="宋体" w:hAnsi="宋体" w:eastAsia="宋体" w:cs="宋体"/>
                <w:szCs w:val="21"/>
              </w:rPr>
            </w:pPr>
            <w:r>
              <w:rPr>
                <w:rFonts w:hint="eastAsia" w:ascii="宋体" w:hAnsi="宋体" w:eastAsia="宋体" w:cs="宋体"/>
                <w:szCs w:val="21"/>
              </w:rPr>
              <w:t>seedworld@126.com</w:t>
            </w:r>
          </w:p>
        </w:tc>
      </w:tr>
    </w:tbl>
    <w:p w14:paraId="2A3355C9">
      <w:pPr>
        <w:keepNext w:val="0"/>
        <w:keepLines w:val="0"/>
        <w:pageBreakBefore w:val="0"/>
        <w:kinsoku/>
        <w:wordWrap/>
        <w:overflowPunct/>
        <w:topLinePunct w:val="0"/>
        <w:autoSpaceDE/>
        <w:autoSpaceDN/>
        <w:bidi w:val="0"/>
        <w:adjustRightInd w:val="0"/>
        <w:snapToGrid w:val="0"/>
        <w:spacing w:line="560" w:lineRule="exact"/>
        <w:ind w:firstLine="562"/>
        <w:jc w:val="center"/>
        <w:rPr>
          <w:rFonts w:hint="eastAsia" w:ascii="Times New Roman" w:hAnsi="Times New Roman" w:eastAsia="仿宋" w:cs="Times New Roman"/>
          <w:b/>
          <w:sz w:val="28"/>
          <w:szCs w:val="28"/>
        </w:rPr>
      </w:pPr>
    </w:p>
    <w:p w14:paraId="1D9FDA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（四）承试单位</w:t>
      </w:r>
    </w:p>
    <w:p w14:paraId="322C34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承担相应组别的试验任务，完成试验总结等。各组别承担单位详见附件1。</w:t>
      </w:r>
      <w:r>
        <w:rPr>
          <w:rFonts w:hint="eastAsia" w:ascii="仿宋_GB2312" w:hAnsi="仿宋_GB2312" w:eastAsia="仿宋_GB2312" w:cs="仿宋_GB2312"/>
          <w:sz w:val="32"/>
          <w:szCs w:val="32"/>
          <w:lang w:val="en-US" w:eastAsia="zh-CN"/>
        </w:rPr>
        <w:t xml:space="preserve">                                                                                                                                                                                                                                                                                                                                                                                                                                                                                                                                                                                                                                                                                                                                                                                                                                                                                                                                                 </w:t>
      </w:r>
    </w:p>
    <w:p w14:paraId="589819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（五）种子接收单位</w:t>
      </w:r>
    </w:p>
    <w:p w14:paraId="16A465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各组别主持单位为相应组别参试种子的接收单位。参试种子由主持单位统一进行分装，按时邮寄到相应承试单位。</w:t>
      </w:r>
    </w:p>
    <w:p w14:paraId="1C1538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三、参试品种与供种要求</w:t>
      </w:r>
    </w:p>
    <w:p w14:paraId="1A74D5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（一）参试品种</w:t>
      </w:r>
    </w:p>
    <w:p w14:paraId="4FF114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各组别参试品种见附件2。</w:t>
      </w:r>
    </w:p>
    <w:p w14:paraId="537C3A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（二）供种量</w:t>
      </w:r>
    </w:p>
    <w:p w14:paraId="48F553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每品种供种量=每试点种子量×试点数+鉴定测试用量+标准样品量。</w:t>
      </w:r>
    </w:p>
    <w:p w14:paraId="00AE36C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一年区试</w:t>
      </w:r>
      <w:r>
        <w:rPr>
          <w:rFonts w:hint="eastAsia" w:ascii="仿宋_GB2312" w:hAnsi="仿宋_GB2312" w:eastAsia="仿宋_GB2312" w:cs="仿宋_GB2312"/>
          <w:sz w:val="32"/>
          <w:szCs w:val="32"/>
        </w:rPr>
        <w:t>：每品种每试点供种0.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公斤</w:t>
      </w:r>
      <w:r>
        <w:rPr>
          <w:rFonts w:hint="eastAsia" w:ascii="仿宋_GB2312" w:hAnsi="仿宋_GB2312" w:eastAsia="仿宋_GB2312" w:cs="仿宋_GB2312"/>
          <w:sz w:val="32"/>
          <w:szCs w:val="32"/>
          <w:highlight w:val="none"/>
        </w:rPr>
        <w:t>+DNA检测0.5公斤。</w:t>
      </w:r>
    </w:p>
    <w:p w14:paraId="66DEAFF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二年区试</w:t>
      </w:r>
      <w:r>
        <w:rPr>
          <w:rFonts w:hint="eastAsia" w:ascii="仿宋_GB2312" w:hAnsi="仿宋_GB2312" w:eastAsia="仿宋_GB2312" w:cs="仿宋_GB2312"/>
          <w:sz w:val="32"/>
          <w:szCs w:val="32"/>
        </w:rPr>
        <w:t>：每品种每试点供种0.4公斤+DNA检测0.5公斤+转基因成分检测0.5公斤+</w:t>
      </w:r>
      <w:r>
        <w:rPr>
          <w:rFonts w:hint="eastAsia" w:ascii="仿宋_GB2312" w:hAnsi="仿宋_GB2312" w:eastAsia="仿宋_GB2312" w:cs="仿宋_GB2312"/>
          <w:sz w:val="32"/>
          <w:szCs w:val="32"/>
          <w:highlight w:val="none"/>
        </w:rPr>
        <w:t>抗性鉴定</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公斤。</w:t>
      </w:r>
    </w:p>
    <w:p w14:paraId="4893BB91">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rPr>
        <w:t>生产试验</w:t>
      </w:r>
      <w:r>
        <w:rPr>
          <w:rFonts w:hint="eastAsia" w:ascii="仿宋_GB2312" w:hAnsi="仿宋_GB2312" w:eastAsia="仿宋_GB2312" w:cs="仿宋_GB2312"/>
          <w:sz w:val="32"/>
          <w:szCs w:val="32"/>
          <w:highlight w:val="none"/>
        </w:rPr>
        <w:t>：每品种每试点供种1.4公斤+DNA检测0.5公斤+转基因成分检测0.5公斤+抗性鉴定</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公斤+标准样</w:t>
      </w:r>
      <w:r>
        <w:rPr>
          <w:rFonts w:hint="eastAsia" w:ascii="仿宋_GB2312" w:hAnsi="仿宋_GB2312" w:eastAsia="仿宋_GB2312" w:cs="仿宋_GB2312"/>
          <w:sz w:val="32"/>
          <w:szCs w:val="32"/>
        </w:rPr>
        <w:t>品2.0公斤。</w:t>
      </w:r>
    </w:p>
    <w:p w14:paraId="530FB8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（三）供种时间</w:t>
      </w:r>
    </w:p>
    <w:p w14:paraId="5E7D14B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参试单位</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在4月5日前将参试种子保质保量寄送到</w:t>
      </w:r>
      <w:r>
        <w:rPr>
          <w:rFonts w:hint="eastAsia" w:ascii="仿宋_GB2312" w:hAnsi="仿宋_GB2312" w:eastAsia="仿宋_GB2312" w:cs="仿宋_GB2312"/>
          <w:sz w:val="32"/>
          <w:szCs w:val="32"/>
          <w:lang w:val="en-US" w:eastAsia="zh-CN"/>
        </w:rPr>
        <w:t>试验主持</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送货上门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，且不受理自提、托运方式，逾期按自动放弃处理。</w:t>
      </w:r>
    </w:p>
    <w:p w14:paraId="76D9C2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（四）供种要求</w:t>
      </w:r>
    </w:p>
    <w:p w14:paraId="4D223021">
      <w:pPr>
        <w:keepNext w:val="0"/>
        <w:keepLines w:val="0"/>
        <w:pageBreakBefore w:val="0"/>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1.参试种子质量必须达到国标</w:t>
      </w:r>
      <w:r>
        <w:rPr>
          <w:rFonts w:hint="eastAsia" w:ascii="仿宋_GB2312" w:hAnsi="仿宋_GB2312" w:eastAsia="仿宋_GB2312" w:cs="仿宋_GB2312"/>
          <w:b w:val="0"/>
          <w:bCs w:val="0"/>
          <w:sz w:val="32"/>
          <w:szCs w:val="32"/>
        </w:rPr>
        <w:t>GB</w:t>
      </w:r>
      <w:r>
        <w:rPr>
          <w:rFonts w:hint="eastAsia" w:ascii="仿宋_GB2312" w:hAnsi="仿宋_GB2312" w:eastAsia="仿宋_GB2312" w:cs="仿宋_GB2312"/>
          <w:sz w:val="32"/>
          <w:szCs w:val="32"/>
        </w:rPr>
        <w:t>4404.1要求，不得进行包衣处理，保证为非转基因种子。大粒种子（百粒重40g以上）要适当增加供种量。</w:t>
      </w:r>
      <w:r>
        <w:rPr>
          <w:rFonts w:hint="eastAsia" w:ascii="Times New Roman" w:hAnsi="Times New Roman" w:eastAsia="仿宋_GB2312" w:cs="Times New Roman"/>
          <w:b/>
          <w:bCs/>
          <w:sz w:val="32"/>
          <w:szCs w:val="32"/>
          <w:highlight w:val="none"/>
        </w:rPr>
        <w:t>为了保证试验的连续性</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bCs/>
          <w:sz w:val="32"/>
          <w:szCs w:val="32"/>
          <w:highlight w:val="none"/>
        </w:rPr>
        <w:t>申请单位</w:t>
      </w:r>
      <w:r>
        <w:rPr>
          <w:rFonts w:hint="eastAsia" w:ascii="Times New Roman" w:hAnsi="Times New Roman" w:eastAsia="仿宋_GB2312" w:cs="Times New Roman"/>
          <w:b/>
          <w:bCs/>
          <w:sz w:val="32"/>
          <w:szCs w:val="32"/>
          <w:highlight w:val="none"/>
          <w:lang w:val="en-US" w:eastAsia="zh-CN"/>
        </w:rPr>
        <w:t>若</w:t>
      </w:r>
      <w:r>
        <w:rPr>
          <w:rFonts w:hint="eastAsia" w:ascii="Times New Roman" w:hAnsi="Times New Roman" w:eastAsia="仿宋_GB2312" w:cs="Times New Roman"/>
          <w:b/>
          <w:bCs/>
          <w:sz w:val="32"/>
          <w:szCs w:val="32"/>
          <w:highlight w:val="none"/>
        </w:rPr>
        <w:t>不能足</w:t>
      </w:r>
      <w:r>
        <w:rPr>
          <w:rFonts w:hint="eastAsia" w:ascii="Times New Roman" w:hAnsi="Times New Roman" w:eastAsia="仿宋_GB2312" w:cs="Times New Roman"/>
          <w:b/>
          <w:bCs/>
          <w:sz w:val="32"/>
          <w:szCs w:val="32"/>
          <w:highlight w:val="none"/>
          <w:lang w:val="en-US" w:eastAsia="zh-CN"/>
        </w:rPr>
        <w:t>量</w:t>
      </w:r>
      <w:r>
        <w:rPr>
          <w:rFonts w:hint="eastAsia" w:ascii="Times New Roman" w:hAnsi="Times New Roman" w:eastAsia="仿宋_GB2312" w:cs="Times New Roman"/>
          <w:b/>
          <w:bCs/>
          <w:sz w:val="32"/>
          <w:szCs w:val="32"/>
          <w:highlight w:val="none"/>
        </w:rPr>
        <w:t>提供方案要求数量的试验种子</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bCs/>
          <w:sz w:val="32"/>
          <w:szCs w:val="32"/>
          <w:highlight w:val="none"/>
          <w:lang w:val="en-US" w:eastAsia="zh-CN"/>
        </w:rPr>
        <w:t>含区试、生试</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bCs/>
          <w:sz w:val="32"/>
          <w:szCs w:val="32"/>
          <w:highlight w:val="none"/>
          <w:lang w:val="en-US" w:eastAsia="zh-CN"/>
        </w:rPr>
        <w:t>造成试验无法开展或中断，</w:t>
      </w:r>
      <w:r>
        <w:rPr>
          <w:rFonts w:hint="eastAsia" w:ascii="Times New Roman" w:hAnsi="Times New Roman" w:eastAsia="仿宋_GB2312" w:cs="Times New Roman"/>
          <w:b/>
          <w:bCs/>
          <w:sz w:val="32"/>
          <w:szCs w:val="32"/>
          <w:highlight w:val="none"/>
        </w:rPr>
        <w:t>视为</w:t>
      </w:r>
      <w:r>
        <w:rPr>
          <w:rFonts w:hint="eastAsia" w:ascii="Times New Roman" w:hAnsi="Times New Roman" w:eastAsia="仿宋_GB2312" w:cs="Times New Roman"/>
          <w:b/>
          <w:bCs/>
          <w:sz w:val="32"/>
          <w:szCs w:val="32"/>
          <w:highlight w:val="none"/>
          <w:lang w:val="en-US" w:eastAsia="zh-CN"/>
        </w:rPr>
        <w:t>自动</w:t>
      </w:r>
      <w:r>
        <w:rPr>
          <w:rFonts w:hint="eastAsia" w:ascii="Times New Roman" w:hAnsi="Times New Roman" w:eastAsia="仿宋_GB2312" w:cs="Times New Roman"/>
          <w:b/>
          <w:bCs/>
          <w:sz w:val="32"/>
          <w:szCs w:val="32"/>
          <w:highlight w:val="none"/>
        </w:rPr>
        <w:t>放弃试验。</w:t>
      </w:r>
    </w:p>
    <w:p w14:paraId="643BF8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2.参试单位必须保证参试种子的真实性、一致性。二年区试、生试的参试种子不得自行分装，同一参试种子不一致的，种子接收单位不进行分装、参试，分装时保证鉴定、测试样品种子要与试点用种一致。</w:t>
      </w:r>
    </w:p>
    <w:p w14:paraId="032446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3.一年区试种子由供种单位按相应组别试点数+1进行</w:t>
      </w:r>
      <w:r>
        <w:rPr>
          <w:rFonts w:hint="eastAsia" w:ascii="仿宋_GB2312" w:hAnsi="仿宋_GB2312" w:eastAsia="仿宋_GB2312" w:cs="仿宋_GB2312"/>
          <w:sz w:val="32"/>
          <w:szCs w:val="32"/>
          <w:lang w:val="en-US" w:eastAsia="zh-CN"/>
        </w:rPr>
        <w:t>编码</w:t>
      </w:r>
      <w:r>
        <w:rPr>
          <w:rFonts w:hint="eastAsia" w:ascii="仿宋_GB2312" w:hAnsi="仿宋_GB2312" w:eastAsia="仿宋_GB2312" w:cs="仿宋_GB2312"/>
          <w:sz w:val="32"/>
          <w:szCs w:val="32"/>
        </w:rPr>
        <w:t>分装（见附件1，超早熟、极早熟、早熟、中早熟、中熟和高密度组8份，中晚熟10份）。分装统一用小纱袋，每袋放置试验组别、品种</w:t>
      </w:r>
      <w:r>
        <w:rPr>
          <w:rFonts w:hint="eastAsia" w:ascii="仿宋_GB2312" w:hAnsi="仿宋_GB2312" w:eastAsia="仿宋_GB2312" w:cs="仿宋_GB2312"/>
          <w:sz w:val="32"/>
          <w:szCs w:val="32"/>
          <w:lang w:val="en-US" w:eastAsia="zh-CN"/>
        </w:rPr>
        <w:t>编码</w:t>
      </w:r>
      <w:r>
        <w:rPr>
          <w:rFonts w:hint="eastAsia" w:ascii="仿宋_GB2312" w:hAnsi="仿宋_GB2312" w:eastAsia="仿宋_GB2312" w:cs="仿宋_GB2312"/>
          <w:sz w:val="32"/>
          <w:szCs w:val="32"/>
        </w:rPr>
        <w:t>标签，每参试品种再外包一个大纱袋。</w:t>
      </w:r>
    </w:p>
    <w:p w14:paraId="6E362E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二年区试、生试的参试种子不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自行分装，分装由种子接收单位完成。包装内要有种子清单，每份种子要有品种标签，注明参试组别。</w:t>
      </w:r>
    </w:p>
    <w:p w14:paraId="482A30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.如因供种时间超期</w:t>
      </w:r>
      <w:r>
        <w:rPr>
          <w:rFonts w:hint="eastAsia" w:ascii="仿宋_GB2312" w:hAnsi="仿宋_GB2312" w:eastAsia="仿宋_GB2312" w:cs="仿宋_GB2312"/>
          <w:sz w:val="32"/>
          <w:szCs w:val="32"/>
          <w:lang w:val="en-US" w:eastAsia="zh-CN"/>
        </w:rPr>
        <w:t>延误</w:t>
      </w:r>
      <w:r>
        <w:rPr>
          <w:rFonts w:hint="eastAsia" w:ascii="仿宋_GB2312" w:hAnsi="仿宋_GB2312" w:eastAsia="仿宋_GB2312" w:cs="仿宋_GB2312"/>
          <w:sz w:val="32"/>
          <w:szCs w:val="32"/>
        </w:rPr>
        <w:t>、供种量不足、种子不一致、质量不合格、包衣、未标品种名称</w:t>
      </w:r>
      <w:r>
        <w:rPr>
          <w:rFonts w:hint="eastAsia" w:ascii="仿宋_GB2312" w:hAnsi="仿宋_GB2312" w:eastAsia="仿宋_GB2312" w:cs="仿宋_GB2312"/>
          <w:sz w:val="32"/>
          <w:szCs w:val="32"/>
          <w:highlight w:val="none"/>
        </w:rPr>
        <w:t>、发现转</w:t>
      </w:r>
      <w:r>
        <w:rPr>
          <w:rFonts w:hint="eastAsia" w:ascii="仿宋_GB2312" w:hAnsi="仿宋_GB2312" w:eastAsia="仿宋_GB2312" w:cs="仿宋_GB2312"/>
          <w:sz w:val="32"/>
          <w:szCs w:val="32"/>
        </w:rPr>
        <w:t>基因或转基因飘移阳性等原因，造成不能正常参加试验或影响试验结果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由供种单位自行承担责任。</w:t>
      </w:r>
    </w:p>
    <w:p w14:paraId="714401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.对照种子由指定单位统一提供（附件3）。</w:t>
      </w:r>
      <w:r>
        <w:rPr>
          <w:rFonts w:hint="eastAsia" w:ascii="仿宋_GB2312" w:hAnsi="仿宋_GB2312" w:eastAsia="仿宋_GB2312" w:cs="仿宋_GB2312"/>
          <w:sz w:val="32"/>
          <w:szCs w:val="32"/>
          <w:highlight w:val="none"/>
        </w:rPr>
        <w:t>德美亚2号，</w:t>
      </w:r>
      <w:r>
        <w:rPr>
          <w:rFonts w:hint="eastAsia" w:ascii="仿宋_GB2312" w:hAnsi="仿宋_GB2312" w:eastAsia="仿宋_GB2312" w:cs="仿宋_GB2312"/>
          <w:sz w:val="32"/>
          <w:szCs w:val="32"/>
          <w:highlight w:val="none"/>
          <w:lang w:val="en-US" w:eastAsia="zh-CN"/>
        </w:rPr>
        <w:t>65</w:t>
      </w:r>
      <w:r>
        <w:rPr>
          <w:rFonts w:hint="eastAsia" w:ascii="仿宋_GB2312" w:hAnsi="仿宋_GB2312" w:eastAsia="仿宋_GB2312" w:cs="仿宋_GB2312"/>
          <w:sz w:val="32"/>
          <w:szCs w:val="32"/>
          <w:highlight w:val="none"/>
        </w:rPr>
        <w:t>公斤；德美亚1号，</w:t>
      </w:r>
      <w:r>
        <w:rPr>
          <w:rFonts w:hint="eastAsia" w:ascii="仿宋_GB2312" w:hAnsi="仿宋_GB2312" w:eastAsia="仿宋_GB2312" w:cs="仿宋_GB2312"/>
          <w:sz w:val="32"/>
          <w:szCs w:val="32"/>
          <w:highlight w:val="none"/>
          <w:lang w:val="en-US" w:eastAsia="zh-CN"/>
        </w:rPr>
        <w:t>105</w:t>
      </w:r>
      <w:r>
        <w:rPr>
          <w:rFonts w:hint="eastAsia" w:ascii="仿宋_GB2312" w:hAnsi="仿宋_GB2312" w:eastAsia="仿宋_GB2312" w:cs="仿宋_GB2312"/>
          <w:sz w:val="32"/>
          <w:szCs w:val="32"/>
          <w:highlight w:val="none"/>
        </w:rPr>
        <w:t>公斤；德美亚3号，</w:t>
      </w:r>
      <w:r>
        <w:rPr>
          <w:rFonts w:hint="eastAsia" w:ascii="仿宋_GB2312" w:hAnsi="仿宋_GB2312" w:eastAsia="仿宋_GB2312" w:cs="仿宋_GB2312"/>
          <w:sz w:val="32"/>
          <w:szCs w:val="32"/>
          <w:highlight w:val="none"/>
          <w:lang w:val="en-US" w:eastAsia="zh-CN"/>
        </w:rPr>
        <w:t>85</w:t>
      </w:r>
      <w:r>
        <w:rPr>
          <w:rFonts w:hint="eastAsia" w:ascii="仿宋_GB2312" w:hAnsi="仿宋_GB2312" w:eastAsia="仿宋_GB2312" w:cs="仿宋_GB2312"/>
          <w:sz w:val="32"/>
          <w:szCs w:val="32"/>
          <w:highlight w:val="none"/>
        </w:rPr>
        <w:t>公斤；和育187，80公斤；先玉335，</w:t>
      </w:r>
      <w:r>
        <w:rPr>
          <w:rFonts w:hint="eastAsia" w:ascii="仿宋_GB2312" w:hAnsi="仿宋_GB2312" w:eastAsia="仿宋_GB2312" w:cs="仿宋_GB2312"/>
          <w:sz w:val="32"/>
          <w:szCs w:val="32"/>
          <w:highlight w:val="none"/>
          <w:lang w:val="en-US" w:eastAsia="zh-CN"/>
        </w:rPr>
        <w:t>90</w:t>
      </w:r>
      <w:r>
        <w:rPr>
          <w:rFonts w:hint="eastAsia" w:ascii="仿宋_GB2312" w:hAnsi="仿宋_GB2312" w:eastAsia="仿宋_GB2312" w:cs="仿宋_GB2312"/>
          <w:sz w:val="32"/>
          <w:szCs w:val="32"/>
          <w:highlight w:val="none"/>
        </w:rPr>
        <w:t>公斤；迪卡159，</w:t>
      </w:r>
      <w:r>
        <w:rPr>
          <w:rFonts w:hint="eastAsia" w:ascii="仿宋_GB2312" w:hAnsi="仿宋_GB2312" w:eastAsia="仿宋_GB2312" w:cs="仿宋_GB2312"/>
          <w:sz w:val="32"/>
          <w:szCs w:val="32"/>
          <w:highlight w:val="none"/>
          <w:lang w:val="en-US" w:eastAsia="zh-CN"/>
        </w:rPr>
        <w:t>70</w:t>
      </w:r>
      <w:r>
        <w:rPr>
          <w:rFonts w:hint="eastAsia" w:ascii="仿宋_GB2312" w:hAnsi="仿宋_GB2312" w:eastAsia="仿宋_GB2312" w:cs="仿宋_GB2312"/>
          <w:sz w:val="32"/>
          <w:szCs w:val="32"/>
          <w:highlight w:val="none"/>
        </w:rPr>
        <w:t>公斤；利禾1号，150公斤。</w:t>
      </w:r>
    </w:p>
    <w:p w14:paraId="636966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自主生产试验试点的对照种子由种子分装单位统一提供，由主持单位组织协调。</w:t>
      </w:r>
    </w:p>
    <w:p w14:paraId="707FB5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（五）种子分装</w:t>
      </w:r>
    </w:p>
    <w:p w14:paraId="512DFD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参试种子采用实名制，由种子接收单位统一进行分装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一年区域试验种子需进行编码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、邮寄，本年度要求在4月15日前邮寄到各承试单位。接收单位收到参试种子后，要及时清点统计实际到位品种情况，并上报给组织单位。</w:t>
      </w:r>
    </w:p>
    <w:p w14:paraId="58E590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四、试验设计与要求</w:t>
      </w:r>
    </w:p>
    <w:p w14:paraId="0240CE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（一）试验设计</w:t>
      </w:r>
    </w:p>
    <w:p w14:paraId="33A4D4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试验区四周要设保护区，保护区不少于4行，必须种植玉米。田间设观察大步道1.5～2.0m，区排间的间隔在0.5m左右，不得在小区两头设大步道。</w:t>
      </w:r>
    </w:p>
    <w:p w14:paraId="04F153E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1.一年区试：</w:t>
      </w:r>
      <w:r>
        <w:rPr>
          <w:rFonts w:hint="eastAsia" w:ascii="仿宋_GB2312" w:hAnsi="仿宋_GB2312" w:eastAsia="仿宋_GB2312" w:cs="仿宋_GB2312"/>
          <w:sz w:val="32"/>
          <w:szCs w:val="32"/>
        </w:rPr>
        <w:t>试验采用间比法，不设重复，每隔8个品种设一对照。地长不够安排8个品种时，可适当减少品种间隔数，但靠边小区必须安排对照。小区面积20m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，必须种植为5行区。各试点品种排列顺序要具有随机性。</w:t>
      </w:r>
    </w:p>
    <w:p w14:paraId="72F7304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color w:val="FF0000"/>
          <w:sz w:val="32"/>
          <w:szCs w:val="32"/>
          <w:highlight w:val="yellow"/>
          <w:lang w:val="en-US" w:eastAsia="zh-CN"/>
        </w:rPr>
      </w:pPr>
      <w:r>
        <w:rPr>
          <w:rFonts w:hint="eastAsia" w:ascii="仿宋_GB2312" w:hAnsi="仿宋_GB2312" w:eastAsia="仿宋_GB2312" w:cs="仿宋_GB2312"/>
          <w:b/>
          <w:bCs/>
          <w:sz w:val="32"/>
          <w:szCs w:val="32"/>
        </w:rPr>
        <w:t>2.二年区试：</w:t>
      </w:r>
      <w:r>
        <w:rPr>
          <w:rFonts w:hint="eastAsia" w:ascii="仿宋_GB2312" w:hAnsi="仿宋_GB2312" w:eastAsia="仿宋_GB2312" w:cs="仿宋_GB2312"/>
          <w:sz w:val="32"/>
          <w:szCs w:val="32"/>
        </w:rPr>
        <w:t>试验采用随机区组排列法，2次重复，小区面积20m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，必须种植为5行区。</w:t>
      </w:r>
    </w:p>
    <w:p w14:paraId="2C75204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3.生产试验：</w:t>
      </w:r>
      <w:r>
        <w:rPr>
          <w:rFonts w:hint="eastAsia" w:ascii="仿宋_GB2312" w:hAnsi="仿宋_GB2312" w:eastAsia="仿宋_GB2312" w:cs="仿宋_GB2312"/>
          <w:b w:val="0"/>
          <w:bCs w:val="0"/>
          <w:sz w:val="32"/>
          <w:szCs w:val="32"/>
        </w:rPr>
        <w:t>试验采用间比法排列，不设重复，每6个品种设一个对照，同一排首、末小区必须是对照品种（如仅1个品种参试，只设一个对照；2个品种参试，也只设一个对照在两个品种之间），小区面积300m</w:t>
      </w:r>
      <w:r>
        <w:rPr>
          <w:rFonts w:hint="eastAsia" w:ascii="仿宋_GB2312" w:hAnsi="仿宋_GB2312" w:eastAsia="仿宋_GB2312" w:cs="仿宋_GB2312"/>
          <w:b w:val="0"/>
          <w:bCs w:val="0"/>
          <w:sz w:val="32"/>
          <w:szCs w:val="32"/>
          <w:vertAlign w:val="superscript"/>
        </w:rPr>
        <w:t>2</w:t>
      </w:r>
      <w:r>
        <w:rPr>
          <w:rFonts w:hint="eastAsia" w:ascii="仿宋_GB2312" w:hAnsi="仿宋_GB2312" w:eastAsia="仿宋_GB2312" w:cs="仿宋_GB2312"/>
          <w:b w:val="0"/>
          <w:bCs w:val="0"/>
          <w:sz w:val="32"/>
          <w:szCs w:val="32"/>
        </w:rPr>
        <w:t>，种植行数不少于12行，小区长宽比要＜5:1。进入生产试验的品种（包</w:t>
      </w:r>
      <w:r>
        <w:rPr>
          <w:rFonts w:hint="eastAsia" w:ascii="仿宋_GB2312" w:hAnsi="仿宋_GB2312" w:eastAsia="仿宋_GB2312" w:cs="仿宋_GB2312"/>
          <w:b w:val="0"/>
          <w:bCs w:val="0"/>
          <w:sz w:val="32"/>
          <w:szCs w:val="32"/>
          <w:highlight w:val="none"/>
        </w:rPr>
        <w:t>括二年区试、生试同步进行品种），申请者可参照试验方案自行开展生产试验。申请者于4月</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日前将加盖单位公章的自行开展生产试验申请书和生产</w:t>
      </w:r>
      <w:r>
        <w:rPr>
          <w:rFonts w:hint="eastAsia" w:ascii="仿宋_GB2312" w:hAnsi="仿宋_GB2312" w:eastAsia="仿宋_GB2312" w:cs="仿宋_GB2312"/>
          <w:b w:val="0"/>
          <w:bCs w:val="0"/>
          <w:sz w:val="32"/>
          <w:szCs w:val="32"/>
        </w:rPr>
        <w:t>试验方案报送试验组织单位（内蒙古自治区农牧业技术推广中心种业发展处）和相应组别主持单位，试验方案符合条件</w:t>
      </w:r>
      <w:r>
        <w:rPr>
          <w:rFonts w:hint="eastAsia" w:ascii="仿宋_GB2312" w:hAnsi="仿宋_GB2312" w:eastAsia="仿宋_GB2312" w:cs="仿宋_GB2312"/>
          <w:b w:val="0"/>
          <w:bCs w:val="0"/>
          <w:sz w:val="32"/>
          <w:szCs w:val="32"/>
          <w:lang w:val="en-US" w:eastAsia="zh-CN"/>
        </w:rPr>
        <w:t>要求</w:t>
      </w:r>
      <w:r>
        <w:rPr>
          <w:rFonts w:hint="eastAsia" w:ascii="仿宋_GB2312" w:hAnsi="仿宋_GB2312" w:eastAsia="仿宋_GB2312" w:cs="仿宋_GB2312"/>
          <w:b w:val="0"/>
          <w:bCs w:val="0"/>
          <w:sz w:val="32"/>
          <w:szCs w:val="32"/>
        </w:rPr>
        <w:t>的方可开展试验，并纳入自治区试验统一管理；申请者应承诺试验过程和试验数据的真实性、客观性，并承担相应责任；自行开展生产试验的试验点数不少于试验方案中各组别试点数，且应当包括试验方</w:t>
      </w:r>
      <w:r>
        <w:rPr>
          <w:rFonts w:hint="eastAsia" w:ascii="仿宋_GB2312" w:hAnsi="仿宋_GB2312" w:eastAsia="仿宋_GB2312" w:cs="仿宋_GB2312"/>
          <w:sz w:val="32"/>
          <w:szCs w:val="32"/>
        </w:rPr>
        <w:t>案指定的2个生产试验点（附件1），</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同一组别</w:t>
      </w:r>
      <w:r>
        <w:rPr>
          <w:rFonts w:hint="eastAsia" w:ascii="仿宋_GB2312" w:hAnsi="仿宋_GB2312" w:eastAsia="仿宋_GB2312" w:cs="仿宋_GB2312"/>
          <w:sz w:val="32"/>
          <w:szCs w:val="32"/>
          <w:lang w:val="en-US" w:eastAsia="zh-CN"/>
        </w:rPr>
        <w:t>不得</w:t>
      </w:r>
      <w:r>
        <w:rPr>
          <w:rFonts w:hint="eastAsia" w:ascii="仿宋_GB2312" w:hAnsi="仿宋_GB2312" w:eastAsia="仿宋_GB2312" w:cs="仿宋_GB2312"/>
          <w:sz w:val="32"/>
          <w:szCs w:val="32"/>
        </w:rPr>
        <w:t>在同一个县级行政区域内设置2个及以上试点；鼓励申请者委托试验方案中的试点开展生产试验，申请者可多设试点，加强品种试验与推广应用的衔接。</w:t>
      </w:r>
    </w:p>
    <w:p w14:paraId="16C9DF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（二）选地要求</w:t>
      </w:r>
    </w:p>
    <w:p w14:paraId="51EA7B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在土壤质地、气候、地形、肥力、茬口等方面具有典型性、代表性、一致性。避开自然灾害多发区造成的试验报废，避免人为影响和鼠、牲畜危害。</w:t>
      </w:r>
    </w:p>
    <w:p w14:paraId="5F5E489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（三）播期及播种方式</w:t>
      </w:r>
    </w:p>
    <w:p w14:paraId="6AEAA0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验播种期、播种方式根据当地生产实际情况，由各承试单位自定。行距根据当地生产习惯确定，株距按种植密度和行距计算确定，但必须等株距种植。播种量保证每穴在2粒或以上，可采取地下害虫防治措施，但不能采取种子包衣</w:t>
      </w:r>
      <w:r>
        <w:rPr>
          <w:rFonts w:hint="eastAsia" w:ascii="仿宋_GB2312" w:hAnsi="仿宋_GB2312" w:eastAsia="仿宋_GB2312" w:cs="仿宋_GB2312"/>
          <w:sz w:val="32"/>
          <w:szCs w:val="32"/>
          <w:highlight w:val="none"/>
        </w:rPr>
        <w:t>的形式</w:t>
      </w:r>
      <w:r>
        <w:rPr>
          <w:rFonts w:hint="eastAsia" w:ascii="仿宋_GB2312" w:hAnsi="仿宋_GB2312" w:eastAsia="仿宋_GB2312" w:cs="仿宋_GB2312"/>
          <w:sz w:val="32"/>
          <w:szCs w:val="32"/>
        </w:rPr>
        <w:t>。</w:t>
      </w:r>
    </w:p>
    <w:p w14:paraId="57553C34">
      <w:pPr>
        <w:keepNext w:val="0"/>
        <w:keepLines w:val="0"/>
        <w:pageBreakBefore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b w:val="0"/>
          <w:bCs w:val="0"/>
          <w:sz w:val="32"/>
          <w:szCs w:val="32"/>
          <w:highlight w:val="none"/>
        </w:rPr>
      </w:pPr>
      <w:r>
        <w:rPr>
          <w:rFonts w:ascii="Times New Roman" w:hAnsi="Times New Roman" w:eastAsia="仿宋_GB2312" w:cs="Times New Roman"/>
          <w:b w:val="0"/>
          <w:bCs w:val="0"/>
          <w:sz w:val="32"/>
          <w:szCs w:val="32"/>
          <w:highlight w:val="none"/>
        </w:rPr>
        <w:t>播种</w:t>
      </w:r>
      <w:r>
        <w:rPr>
          <w:rFonts w:hint="eastAsia" w:ascii="Times New Roman" w:hAnsi="Times New Roman" w:eastAsia="仿宋_GB2312" w:cs="Times New Roman"/>
          <w:b w:val="0"/>
          <w:bCs w:val="0"/>
          <w:sz w:val="32"/>
          <w:szCs w:val="32"/>
          <w:highlight w:val="none"/>
          <w:lang w:eastAsia="zh-CN"/>
        </w:rPr>
        <w:t>前</w:t>
      </w:r>
      <w:r>
        <w:rPr>
          <w:rFonts w:ascii="Times New Roman" w:hAnsi="Times New Roman" w:eastAsia="仿宋_GB2312" w:cs="Times New Roman"/>
          <w:b w:val="0"/>
          <w:bCs w:val="0"/>
          <w:sz w:val="32"/>
          <w:szCs w:val="32"/>
          <w:highlight w:val="none"/>
        </w:rPr>
        <w:t>，将田间种植图</w:t>
      </w:r>
      <w:r>
        <w:rPr>
          <w:rFonts w:hint="eastAsia" w:ascii="Times New Roman" w:hAnsi="Times New Roman" w:eastAsia="仿宋_GB2312" w:cs="Times New Roman"/>
          <w:b w:val="0"/>
          <w:bCs w:val="0"/>
          <w:sz w:val="32"/>
          <w:szCs w:val="32"/>
          <w:highlight w:val="none"/>
          <w:lang w:val="en-US" w:eastAsia="zh-CN"/>
        </w:rPr>
        <w:t>报</w:t>
      </w:r>
      <w:r>
        <w:rPr>
          <w:rFonts w:ascii="Times New Roman" w:hAnsi="Times New Roman" w:eastAsia="仿宋_GB2312" w:cs="Times New Roman"/>
          <w:b w:val="0"/>
          <w:bCs w:val="0"/>
          <w:sz w:val="32"/>
          <w:szCs w:val="32"/>
          <w:highlight w:val="none"/>
        </w:rPr>
        <w:t>送到试验组织单位和试验主持人。</w:t>
      </w:r>
    </w:p>
    <w:p w14:paraId="7A8673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（四）田间管理</w:t>
      </w:r>
    </w:p>
    <w:p w14:paraId="409507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1.试验地水肥管理水平应与当地生产水平相当，田间管理应略高于当地生产水平，每一项田间管理措施要在同一天内完成。</w:t>
      </w:r>
    </w:p>
    <w:p w14:paraId="5EF9EE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要保证达到全苗。若小区株数未达到全苗的95%，定苗时按“缺一借一”原则，在本行邻近缺苗位置选留一双株，保证每行、每小区的理论株数，一般情况不进行补种或移栽。若小区株数仍未达到要求，要及时报告试验组织单位。</w:t>
      </w:r>
    </w:p>
    <w:p w14:paraId="709817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3.承试单位要严格按照试验方案开展试验，不得增加非方案内的品种。试验区要与其他试验界线分明，有明确的标识或标牌。</w:t>
      </w:r>
    </w:p>
    <w:p w14:paraId="0F3172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（五）收获与考种</w:t>
      </w:r>
    </w:p>
    <w:p w14:paraId="4068E08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1.收获时间</w:t>
      </w:r>
    </w:p>
    <w:p w14:paraId="7DB0E0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收获时间与当地生产实际一致（一般在对照成熟后15天左右），</w:t>
      </w:r>
      <w:r>
        <w:rPr>
          <w:rFonts w:hint="eastAsia" w:ascii="仿宋_GB2312" w:hAnsi="仿宋_GB2312" w:eastAsia="仿宋_GB2312" w:cs="仿宋_GB2312"/>
          <w:sz w:val="32"/>
          <w:szCs w:val="32"/>
          <w:lang w:val="en-US" w:eastAsia="zh-CN"/>
        </w:rPr>
        <w:t>同组试验</w:t>
      </w:r>
      <w:r>
        <w:rPr>
          <w:rFonts w:hint="eastAsia" w:ascii="仿宋_GB2312" w:hAnsi="仿宋_GB2312" w:eastAsia="仿宋_GB2312" w:cs="仿宋_GB2312"/>
          <w:sz w:val="32"/>
          <w:szCs w:val="32"/>
        </w:rPr>
        <w:t>收获、脱粒、测产要在当天完成。一年</w:t>
      </w:r>
      <w:r>
        <w:rPr>
          <w:rFonts w:hint="eastAsia" w:ascii="仿宋_GB2312" w:hAnsi="仿宋_GB2312" w:eastAsia="仿宋_GB2312" w:cs="仿宋_GB2312"/>
          <w:sz w:val="32"/>
          <w:szCs w:val="32"/>
          <w:lang w:val="en-US" w:eastAsia="zh-CN"/>
        </w:rPr>
        <w:t>区试的收获与测产</w:t>
      </w:r>
      <w:r>
        <w:rPr>
          <w:rFonts w:hint="eastAsia" w:ascii="仿宋_GB2312" w:hAnsi="仿宋_GB2312" w:eastAsia="仿宋_GB2312" w:cs="仿宋_GB2312"/>
          <w:sz w:val="32"/>
          <w:szCs w:val="32"/>
        </w:rPr>
        <w:t>由承试单位自行开展；二年</w:t>
      </w:r>
      <w:r>
        <w:rPr>
          <w:rFonts w:hint="eastAsia" w:ascii="仿宋_GB2312" w:hAnsi="仿宋_GB2312" w:eastAsia="仿宋_GB2312" w:cs="仿宋_GB2312"/>
          <w:sz w:val="32"/>
          <w:szCs w:val="32"/>
          <w:lang w:val="en-US" w:eastAsia="zh-CN"/>
        </w:rPr>
        <w:t>区试</w:t>
      </w:r>
      <w:r>
        <w:rPr>
          <w:rFonts w:hint="eastAsia" w:ascii="仿宋_GB2312" w:hAnsi="仿宋_GB2312" w:eastAsia="仿宋_GB2312" w:cs="仿宋_GB2312"/>
          <w:sz w:val="32"/>
          <w:szCs w:val="32"/>
        </w:rPr>
        <w:t>、生产试验由专家组统一或选点联合测产，测产时间、试点、方法按本年度联合测产方案执行。专家组联合测产结果一式两份（可复印），在测产后当天留一份于测产试点。</w:t>
      </w:r>
    </w:p>
    <w:p w14:paraId="0853540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2.调查取样</w:t>
      </w:r>
    </w:p>
    <w:p w14:paraId="1983BF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生育时期、主要病虫害等在收获前按调查标准要求调查完毕；成熟期倒伏株数、倒折株数必须在各品种成熟期当天调查，收获期倒伏株数、倒折株数在收获前1～2天调查。同组别试验的对照品种成熟当天，二年区试在第一重复小区边行、生产试验在每小区边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每个参试品种调查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3穗，从中间掰开，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调查记载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籽粒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的乳线位置</w:t>
      </w:r>
      <w:r>
        <w:rPr>
          <w:rFonts w:hint="eastAsia" w:ascii="仿宋_GB2312" w:hAnsi="仿宋_GB2312" w:eastAsia="仿宋_GB2312" w:cs="仿宋_GB2312"/>
          <w:sz w:val="32"/>
          <w:szCs w:val="32"/>
        </w:rPr>
        <w:t>；收获前在边行选取大小均匀的10个样本穗进行穗部性状考种。</w:t>
      </w:r>
    </w:p>
    <w:p w14:paraId="063BF55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3.收获面积</w:t>
      </w:r>
    </w:p>
    <w:p w14:paraId="79E397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一年区试、二年区试：每小区收获中间3行，并去除每行两端各一株。</w:t>
      </w:r>
    </w:p>
    <w:p w14:paraId="7397EA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生产试验：</w:t>
      </w:r>
      <w:r>
        <w:rPr>
          <w:rFonts w:hint="eastAsia" w:ascii="仿宋_GB2312" w:hAnsi="仿宋_GB2312" w:eastAsia="仿宋_GB2312" w:cs="仿宋_GB2312"/>
          <w:sz w:val="32"/>
          <w:szCs w:val="32"/>
        </w:rPr>
        <w:t>每小区去除边行、地头株，收获中间部分。</w:t>
      </w:r>
    </w:p>
    <w:p w14:paraId="1BF20B7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4.收获测产</w:t>
      </w:r>
    </w:p>
    <w:p w14:paraId="244F96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调查各小区收获面积内的株数、空秆数（包括病害造成的空秆）；收获全部果穗，双穗株的第二穗单收，认真核实小区收获面积内的主穗数、双穗数、穗腐病穗数和粒腐</w:t>
      </w:r>
      <w:r>
        <w:rPr>
          <w:rFonts w:hint="eastAsia" w:ascii="仿宋_GB2312" w:hAnsi="仿宋_GB2312" w:eastAsia="仿宋_GB2312" w:cs="仿宋_GB2312"/>
          <w:sz w:val="32"/>
          <w:szCs w:val="32"/>
          <w:highlight w:val="none"/>
        </w:rPr>
        <w:t>发生情况</w:t>
      </w:r>
      <w:r>
        <w:rPr>
          <w:rFonts w:hint="eastAsia" w:ascii="仿宋_GB2312" w:hAnsi="仿宋_GB2312" w:eastAsia="仿宋_GB2312" w:cs="仿宋_GB2312"/>
          <w:sz w:val="32"/>
          <w:szCs w:val="32"/>
        </w:rPr>
        <w:t>；测定穗鲜重；采用小区脱粒机脱粒，测定粒鲜重、破损粒鲜重、水分。</w:t>
      </w:r>
    </w:p>
    <w:p w14:paraId="2EBAE7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测定重量后应减去包装袋重。</w:t>
      </w:r>
      <w:r>
        <w:rPr>
          <w:rFonts w:hint="eastAsia" w:ascii="仿宋_GB2312" w:hAnsi="仿宋_GB2312" w:eastAsia="仿宋_GB2312" w:cs="仿宋_GB2312"/>
          <w:b w:val="0"/>
          <w:bCs w:val="0"/>
          <w:sz w:val="32"/>
          <w:szCs w:val="32"/>
        </w:rPr>
        <w:t>必须测定水分2次</w:t>
      </w:r>
      <w:r>
        <w:rPr>
          <w:rFonts w:hint="eastAsia" w:ascii="仿宋_GB2312" w:hAnsi="仿宋_GB2312" w:eastAsia="仿宋_GB2312" w:cs="仿宋_GB2312"/>
          <w:sz w:val="32"/>
          <w:szCs w:val="32"/>
        </w:rPr>
        <w:t>，差异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1%时要重新测定一次，以差异＜1%的2次测定结果为准。</w:t>
      </w:r>
    </w:p>
    <w:p w14:paraId="015809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承担二年区试的试点，将二年区试集中安排在一起，并注意重复间、小区行间对应，周围10米范围内避免有障碍物阻碍，方便开展统一籽粒机收测产。测产组应根据含水量等情况研判收获时间，适时收获。</w:t>
      </w:r>
    </w:p>
    <w:p w14:paraId="0A6B57B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5.考种</w:t>
      </w:r>
    </w:p>
    <w:p w14:paraId="3B75E8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考种时，先称样本穗干重，核定穗数；测定穗长、穗粗、秃尖、穗行数、行粒数及</w:t>
      </w:r>
      <w:r>
        <w:rPr>
          <w:rFonts w:hint="eastAsia" w:ascii="仿宋_GB2312" w:hAnsi="仿宋_GB2312" w:eastAsia="仿宋_GB2312" w:cs="仿宋_GB2312"/>
          <w:sz w:val="32"/>
          <w:szCs w:val="32"/>
          <w:lang w:val="en-US" w:eastAsia="zh-CN"/>
        </w:rPr>
        <w:t>记载</w:t>
      </w:r>
      <w:r>
        <w:rPr>
          <w:rFonts w:hint="eastAsia" w:ascii="仿宋_GB2312" w:hAnsi="仿宋_GB2312" w:eastAsia="仿宋_GB2312" w:cs="仿宋_GB2312"/>
          <w:sz w:val="32"/>
          <w:szCs w:val="32"/>
        </w:rPr>
        <w:t>穗型、轴色、粒型、粒色等；果穗脱粒，测定样本粒干重</w:t>
      </w:r>
      <w:r>
        <w:rPr>
          <w:rFonts w:hint="eastAsia" w:ascii="仿宋_GB2312" w:hAnsi="仿宋_GB2312" w:eastAsia="仿宋_GB2312" w:cs="仿宋_GB2312"/>
          <w:b w:val="0"/>
          <w:bCs w:val="0"/>
          <w:sz w:val="32"/>
          <w:szCs w:val="32"/>
        </w:rPr>
        <w:t>、水分、</w:t>
      </w:r>
      <w:r>
        <w:rPr>
          <w:rFonts w:hint="eastAsia" w:ascii="仿宋_GB2312" w:hAnsi="仿宋_GB2312" w:eastAsia="仿宋_GB2312" w:cs="仿宋_GB2312"/>
          <w:sz w:val="32"/>
          <w:szCs w:val="32"/>
        </w:rPr>
        <w:t>百粒重</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14:paraId="0FA54A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五、鉴定与测定</w:t>
      </w:r>
    </w:p>
    <w:p w14:paraId="04A9AD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一年区试、二年区试、生产试验品种统一组织进行DNA测定，二年区试、生产试验品种统一组织进行抗性鉴定、品质分析、转基因成分检测（</w:t>
      </w:r>
      <w:r>
        <w:rPr>
          <w:rFonts w:hint="eastAsia" w:ascii="仿宋_GB2312" w:hAnsi="仿宋_GB2312" w:eastAsia="仿宋_GB2312" w:cs="仿宋_GB2312"/>
          <w:sz w:val="32"/>
          <w:szCs w:val="32"/>
        </w:rPr>
        <w:t>附件4）。</w:t>
      </w:r>
    </w:p>
    <w:p w14:paraId="04EFE2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（一）抗性鉴定</w:t>
      </w:r>
    </w:p>
    <w:p w14:paraId="472BF4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参加二年区试、生产试验的品种，由种子接收分装单位将每</w:t>
      </w:r>
      <w:r>
        <w:rPr>
          <w:rFonts w:hint="eastAsia" w:ascii="仿宋_GB2312" w:hAnsi="仿宋_GB2312" w:eastAsia="仿宋_GB2312" w:cs="仿宋_GB2312"/>
          <w:sz w:val="32"/>
          <w:szCs w:val="32"/>
          <w:highlight w:val="none"/>
        </w:rPr>
        <w:t>品种的</w:t>
      </w:r>
      <w:r>
        <w:rPr>
          <w:rFonts w:hint="eastAsia" w:ascii="仿宋_GB2312" w:hAnsi="仿宋_GB2312" w:eastAsia="仿宋_GB2312" w:cs="仿宋_GB2312"/>
          <w:sz w:val="32"/>
          <w:szCs w:val="32"/>
          <w:highlight w:val="none"/>
          <w:lang w:val="en-US" w:eastAsia="zh-CN"/>
        </w:rPr>
        <w:t>1公斤</w:t>
      </w:r>
      <w:r>
        <w:rPr>
          <w:rFonts w:hint="eastAsia" w:ascii="仿宋_GB2312" w:hAnsi="仿宋_GB2312" w:eastAsia="仿宋_GB2312" w:cs="仿宋_GB2312"/>
          <w:sz w:val="32"/>
          <w:szCs w:val="32"/>
          <w:highlight w:val="none"/>
        </w:rPr>
        <w:t>种子</w:t>
      </w:r>
      <w:r>
        <w:rPr>
          <w:rFonts w:hint="eastAsia" w:ascii="仿宋_GB2312" w:hAnsi="仿宋_GB2312" w:eastAsia="仿宋_GB2312" w:cs="仿宋_GB2312"/>
          <w:sz w:val="32"/>
          <w:szCs w:val="32"/>
          <w:highlight w:val="none"/>
          <w:lang w:val="en-US" w:eastAsia="zh-CN"/>
        </w:rPr>
        <w:t>分别</w:t>
      </w:r>
      <w:r>
        <w:rPr>
          <w:rFonts w:hint="eastAsia" w:ascii="仿宋_GB2312" w:hAnsi="仿宋_GB2312" w:eastAsia="仿宋_GB2312" w:cs="仿宋_GB2312"/>
          <w:sz w:val="32"/>
          <w:szCs w:val="32"/>
        </w:rPr>
        <w:t>寄到指定单位进行测定（区生同步品种只测定二年区试品种）。</w:t>
      </w:r>
    </w:p>
    <w:p w14:paraId="50B371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（二）品质分析</w:t>
      </w:r>
    </w:p>
    <w:p w14:paraId="7104F3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2个指定二年区试、生产试验单位在每个参试品种小区边行套袋6～8穗，风干脱粒后每品种取1.2公斤籽粒，及时邮寄到试验组织单位，统一委托具备检测资质的检测单位测定（区生同步品种只套袋二年区试品种）。</w:t>
      </w:r>
    </w:p>
    <w:p w14:paraId="57798D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（三）DNA指纹测定</w:t>
      </w:r>
    </w:p>
    <w:p w14:paraId="0A1D79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highlight w:val="none"/>
          <w:lang w:val="en-US" w:eastAsia="zh-CN"/>
        </w:rPr>
        <w:t>检测用种由试验主持人统一分装、邮寄至相应单位。其中，一年区域试验各</w:t>
      </w:r>
      <w:r>
        <w:rPr>
          <w:rFonts w:ascii="Times New Roman" w:hAnsi="Times New Roman" w:eastAsia="仿宋_GB2312" w:cs="Times New Roman"/>
          <w:sz w:val="32"/>
          <w:szCs w:val="32"/>
          <w:highlight w:val="none"/>
        </w:rPr>
        <w:t>品种</w:t>
      </w:r>
      <w:r>
        <w:rPr>
          <w:rFonts w:hint="eastAsia" w:ascii="Times New Roman" w:hAnsi="Times New Roman" w:eastAsia="仿宋_GB2312" w:cs="Times New Roman"/>
          <w:sz w:val="32"/>
          <w:szCs w:val="32"/>
          <w:highlight w:val="none"/>
          <w:lang w:val="en-US" w:eastAsia="zh-CN"/>
        </w:rPr>
        <w:t>需</w:t>
      </w:r>
      <w:r>
        <w:rPr>
          <w:rFonts w:ascii="Times New Roman" w:hAnsi="Times New Roman" w:eastAsia="仿宋_GB2312" w:cs="Times New Roman"/>
          <w:sz w:val="32"/>
          <w:szCs w:val="32"/>
          <w:highlight w:val="none"/>
        </w:rPr>
        <w:t>DNA指纹检测</w:t>
      </w:r>
      <w:r>
        <w:rPr>
          <w:rFonts w:hint="eastAsia" w:ascii="Times New Roman" w:hAnsi="Times New Roman" w:eastAsia="仿宋_GB2312" w:cs="Times New Roman"/>
          <w:sz w:val="32"/>
          <w:szCs w:val="32"/>
          <w:highlight w:val="none"/>
          <w:lang w:val="en-US" w:eastAsia="zh-CN"/>
        </w:rPr>
        <w:t>样品</w:t>
      </w:r>
      <w:r>
        <w:rPr>
          <w:rFonts w:ascii="Times New Roman" w:hAnsi="Times New Roman" w:eastAsia="仿宋_GB2312" w:cs="Times New Roman"/>
          <w:sz w:val="32"/>
          <w:szCs w:val="32"/>
          <w:highlight w:val="none"/>
        </w:rPr>
        <w:t>0.5公斤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邮寄至种业发展处备检</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sz w:val="32"/>
          <w:szCs w:val="32"/>
          <w:highlight w:val="none"/>
        </w:rPr>
        <w:t>二年区试、生产试验的品种</w:t>
      </w:r>
      <w:r>
        <w:rPr>
          <w:rFonts w:hint="eastAsia" w:ascii="仿宋_GB2312" w:hAnsi="仿宋_GB2312" w:eastAsia="仿宋_GB2312" w:cs="仿宋_GB2312"/>
          <w:sz w:val="32"/>
          <w:szCs w:val="32"/>
        </w:rPr>
        <w:t>，由种子接收分装单位将每品种的0.5公斤种子寄到指定单位进行测定（区生同步品种只测定二年区试品种）。</w:t>
      </w:r>
    </w:p>
    <w:p w14:paraId="6D1EEF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（四）转基因成分检测</w:t>
      </w:r>
    </w:p>
    <w:p w14:paraId="0BE0E3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参加二年区试、生产试验的品种，由种子接收分装单位将每品种的0.5公斤种子寄到指定单位进行测定（区生同步品种只测定二年区试品种）。</w:t>
      </w:r>
    </w:p>
    <w:p w14:paraId="62A6602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（五）DUS测试</w:t>
      </w:r>
    </w:p>
    <w:p w14:paraId="70F5ACF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sz w:val="32"/>
          <w:szCs w:val="32"/>
          <w:highlight w:val="none"/>
        </w:rPr>
        <w:t>按照《主要农作物品种审定办法》有关</w:t>
      </w:r>
      <w:r>
        <w:rPr>
          <w:rFonts w:hint="eastAsia" w:ascii="Times New Roman" w:hAnsi="Times New Roman" w:eastAsia="仿宋_GB2312" w:cs="Times New Roman"/>
          <w:sz w:val="32"/>
          <w:szCs w:val="32"/>
          <w:highlight w:val="none"/>
          <w:lang w:val="en-US" w:eastAsia="zh-CN"/>
        </w:rPr>
        <w:t>规定</w:t>
      </w:r>
      <w:r>
        <w:rPr>
          <w:rFonts w:hint="eastAsia" w:ascii="Times New Roman" w:hAnsi="Times New Roman" w:eastAsia="仿宋_GB2312" w:cs="Times New Roman"/>
          <w:sz w:val="32"/>
          <w:szCs w:val="32"/>
          <w:highlight w:val="none"/>
        </w:rPr>
        <w:t>，申请品种审定时必须提供2个生长周期的DUS测试报告。</w:t>
      </w:r>
      <w:r>
        <w:rPr>
          <w:rFonts w:hint="eastAsia" w:ascii="Times New Roman" w:hAnsi="Times New Roman" w:eastAsia="仿宋_GB2312" w:cs="Times New Roman"/>
          <w:sz w:val="32"/>
          <w:szCs w:val="32"/>
          <w:highlight w:val="none"/>
          <w:lang w:val="en-US" w:eastAsia="zh-CN"/>
        </w:rPr>
        <w:t>建议委托农业农村部植物新品种测试中心进行测试（委托DUS测试在线申请系统：http://202.127.42.202/testsys/system/login）。</w:t>
      </w:r>
    </w:p>
    <w:p w14:paraId="041A5C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六、观察记载</w:t>
      </w:r>
    </w:p>
    <w:p w14:paraId="2DED73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（一）专人负责制</w:t>
      </w:r>
    </w:p>
    <w:p w14:paraId="01B221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田间调查要指定专门技术人员负责。要根据试验方案做好田间设计、田间管理、调查记载、数据上报等工作。</w:t>
      </w:r>
    </w:p>
    <w:p w14:paraId="4AF614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（二）严格按标准执行</w:t>
      </w:r>
    </w:p>
    <w:p w14:paraId="693B2C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rPr>
        <w:t>整个生育期间，必须按照统一规定的调查项目、标准、方法</w:t>
      </w:r>
      <w:r>
        <w:rPr>
          <w:rFonts w:hint="eastAsia" w:ascii="仿宋_GB2312" w:hAnsi="仿宋_GB2312" w:eastAsia="仿宋_GB2312" w:cs="仿宋_GB2312"/>
          <w:b w:val="0"/>
          <w:bCs w:val="0"/>
          <w:sz w:val="32"/>
          <w:szCs w:val="32"/>
          <w:lang w:val="en-US" w:eastAsia="zh-CN"/>
        </w:rPr>
        <w:t>及时</w:t>
      </w:r>
      <w:r>
        <w:rPr>
          <w:rFonts w:hint="eastAsia" w:ascii="仿宋_GB2312" w:hAnsi="仿宋_GB2312" w:eastAsia="仿宋_GB2312" w:cs="仿宋_GB2312"/>
          <w:b w:val="0"/>
          <w:bCs w:val="0"/>
          <w:sz w:val="32"/>
          <w:szCs w:val="32"/>
        </w:rPr>
        <w:t>进行逐项调查记载，承试人员必须熟练地掌握调查标准，保证准确、及时记录。</w:t>
      </w:r>
      <w:r>
        <w:rPr>
          <w:rFonts w:hint="eastAsia" w:ascii="仿宋_GB2312" w:hAnsi="仿宋_GB2312" w:eastAsia="仿宋_GB2312" w:cs="仿宋_GB2312"/>
          <w:b w:val="0"/>
          <w:bCs w:val="0"/>
          <w:sz w:val="32"/>
          <w:szCs w:val="32"/>
          <w:lang w:val="en-US" w:eastAsia="zh-CN"/>
        </w:rPr>
        <w:t>以</w:t>
      </w:r>
      <w:r>
        <w:rPr>
          <w:rFonts w:hint="eastAsia" w:ascii="仿宋_GB2312" w:hAnsi="仿宋_GB2312" w:eastAsia="仿宋_GB2312" w:cs="仿宋_GB2312"/>
          <w:b w:val="0"/>
          <w:bCs w:val="0"/>
          <w:sz w:val="32"/>
          <w:szCs w:val="32"/>
          <w:highlight w:val="none"/>
          <w:lang w:val="en-US" w:eastAsia="zh-CN"/>
        </w:rPr>
        <w:t>内蒙古自治区区域试验平台统一填报为主</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http://150.223.32.185:8081/index.html#/login</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同步纸质记录</w:t>
      </w:r>
      <w:r>
        <w:rPr>
          <w:rFonts w:hint="eastAsia" w:ascii="仿宋_GB2312" w:hAnsi="仿宋_GB2312" w:eastAsia="仿宋_GB2312" w:cs="仿宋_GB2312"/>
          <w:b w:val="0"/>
          <w:bCs w:val="0"/>
          <w:sz w:val="32"/>
          <w:szCs w:val="32"/>
          <w:highlight w:val="none"/>
        </w:rPr>
        <w:t>。</w:t>
      </w:r>
    </w:p>
    <w:p w14:paraId="196FC0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（三）试验档案管理</w:t>
      </w:r>
    </w:p>
    <w:p w14:paraId="63D833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要建立试验档案，田间调查记录要及时、准确、完整，不得</w:t>
      </w:r>
      <w:r>
        <w:rPr>
          <w:rFonts w:hint="eastAsia" w:ascii="仿宋_GB2312" w:hAnsi="仿宋_GB2312" w:eastAsia="仿宋_GB2312" w:cs="仿宋_GB2312"/>
          <w:sz w:val="32"/>
          <w:szCs w:val="32"/>
          <w:highlight w:val="none"/>
        </w:rPr>
        <w:t>私自修改。调查记录由内蒙古农作物品种区域试验系统导出后，要妥善保管，</w:t>
      </w:r>
      <w:r>
        <w:rPr>
          <w:rFonts w:hint="eastAsia" w:ascii="仿宋_GB2312" w:hAnsi="仿宋_GB2312" w:eastAsia="仿宋_GB2312" w:cs="仿宋_GB2312"/>
          <w:sz w:val="32"/>
          <w:szCs w:val="32"/>
        </w:rPr>
        <w:t>接受主管部门</w:t>
      </w:r>
      <w:r>
        <w:rPr>
          <w:rFonts w:hint="eastAsia" w:ascii="仿宋_GB2312" w:hAnsi="仿宋_GB2312" w:eastAsia="仿宋_GB2312" w:cs="仿宋_GB2312"/>
          <w:sz w:val="32"/>
          <w:szCs w:val="32"/>
          <w:lang w:val="en-US" w:eastAsia="zh-CN"/>
        </w:rPr>
        <w:t>及组织单位</w:t>
      </w:r>
      <w:r>
        <w:rPr>
          <w:rFonts w:hint="eastAsia" w:ascii="仿宋_GB2312" w:hAnsi="仿宋_GB2312" w:eastAsia="仿宋_GB2312" w:cs="仿宋_GB2312"/>
          <w:sz w:val="32"/>
          <w:szCs w:val="32"/>
        </w:rPr>
        <w:t>的检查。试验结束后，原始数据档案应保存三年以上。</w:t>
      </w:r>
    </w:p>
    <w:p w14:paraId="2854CF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（四）记载内容</w:t>
      </w:r>
    </w:p>
    <w:p w14:paraId="486FF8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主要观察记载内容和标准</w:t>
      </w:r>
      <w:r>
        <w:rPr>
          <w:rFonts w:hint="eastAsia" w:ascii="仿宋_GB2312" w:hAnsi="仿宋_GB2312" w:eastAsia="仿宋_GB2312" w:cs="仿宋_GB2312"/>
          <w:sz w:val="32"/>
          <w:szCs w:val="32"/>
          <w:highlight w:val="none"/>
        </w:rPr>
        <w:t>依据《</w:t>
      </w:r>
      <w:r>
        <w:rPr>
          <w:rFonts w:hint="eastAsia" w:ascii="仿宋_GB2312" w:hAnsi="仿宋_GB2312" w:eastAsia="仿宋_GB2312" w:cs="仿宋_GB2312"/>
          <w:sz w:val="32"/>
          <w:szCs w:val="32"/>
        </w:rPr>
        <w:t>内蒙古自治区玉米品种试验田间调查记载项目及其标准》。</w:t>
      </w:r>
    </w:p>
    <w:p w14:paraId="7C4167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七、试验总结</w:t>
      </w:r>
    </w:p>
    <w:p w14:paraId="40476A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（一）报送时间</w:t>
      </w:r>
    </w:p>
    <w:p w14:paraId="0BDB810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各承试单位要严格按照内蒙古农作物品种区域试验系统的有关要求进行数据上报，并于11月10日前将系统生成报告导出，打印后盖章邮寄至试验组织单位和主持单位，同时将扫描版发送至试验组织单位和主持单位。</w:t>
      </w:r>
    </w:p>
    <w:p w14:paraId="4E7E78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（二）总结要求</w:t>
      </w:r>
    </w:p>
    <w:p w14:paraId="2FA1AC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的统计、处理必须按记载标准和统计方法执行，杜绝任何的人为篡改、调整，计算、统计要准确、认真，要多次核实；记载表格式、数据类型、小数位次等已由程序锁定，不得随意修改，必须按统一标准和提示填写，杜绝漏填、不标准填报现象。</w:t>
      </w:r>
    </w:p>
    <w:p w14:paraId="2EE487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（三）试验汇总</w:t>
      </w:r>
    </w:p>
    <w:p w14:paraId="36FCC2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试验主持单位负责本组别试验结果的汇总。主持单位要严格按照内蒙古自治区玉米品种审定标准，提出明确的</w:t>
      </w:r>
      <w:r>
        <w:rPr>
          <w:rFonts w:hint="eastAsia" w:ascii="仿宋_GB2312" w:hAnsi="仿宋_GB2312" w:eastAsia="仿宋_GB2312" w:cs="仿宋_GB2312"/>
          <w:b w:val="0"/>
          <w:bCs w:val="0"/>
          <w:sz w:val="32"/>
          <w:szCs w:val="32"/>
          <w:lang w:val="en-US" w:eastAsia="zh-CN"/>
        </w:rPr>
        <w:t>晋级</w:t>
      </w:r>
      <w:r>
        <w:rPr>
          <w:rFonts w:hint="eastAsia" w:ascii="仿宋_GB2312" w:hAnsi="仿宋_GB2312" w:eastAsia="仿宋_GB2312" w:cs="仿宋_GB2312"/>
          <w:b w:val="0"/>
          <w:bCs w:val="0"/>
          <w:sz w:val="32"/>
          <w:szCs w:val="32"/>
        </w:rPr>
        <w:t>、淘汰等意见，并于12月1日前上报汇总结果给试验组织单位。试验主持单位在汇总时要对上报数据进行统一计算、核准，</w:t>
      </w:r>
      <w:r>
        <w:rPr>
          <w:rFonts w:hint="eastAsia" w:ascii="仿宋_GB2312" w:hAnsi="仿宋_GB2312" w:eastAsia="仿宋_GB2312" w:cs="仿宋_GB2312"/>
          <w:b w:val="0"/>
          <w:bCs w:val="0"/>
          <w:sz w:val="32"/>
          <w:szCs w:val="32"/>
          <w:lang w:val="en-US" w:eastAsia="zh-CN"/>
        </w:rPr>
        <w:t>极值</w:t>
      </w:r>
      <w:r>
        <w:rPr>
          <w:rFonts w:hint="eastAsia" w:ascii="仿宋_GB2312" w:hAnsi="仿宋_GB2312" w:eastAsia="仿宋_GB2312" w:cs="仿宋_GB2312"/>
          <w:b w:val="0"/>
          <w:bCs w:val="0"/>
          <w:sz w:val="32"/>
          <w:szCs w:val="32"/>
        </w:rPr>
        <w:t>数据要与试点核实，对特异试验结果要科学把控、合理报废。</w:t>
      </w:r>
    </w:p>
    <w:p w14:paraId="194E2E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自行开展生产试验的于12月1日前将加盖单位公章的生产试验结果寄至试验组织单位和试验主持单位。</w:t>
      </w:r>
    </w:p>
    <w:p w14:paraId="1EA0CB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rPr>
      </w:pPr>
      <w:r>
        <w:rPr>
          <w:rFonts w:hint="eastAsia" w:ascii="黑体" w:hAnsi="黑体" w:eastAsia="黑体" w:cs="黑体"/>
          <w:sz w:val="32"/>
          <w:szCs w:val="32"/>
        </w:rPr>
        <w:t>八、特殊情况处理</w:t>
      </w:r>
    </w:p>
    <w:p w14:paraId="295FFF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（一）事故灾害及时上报</w:t>
      </w:r>
    </w:p>
    <w:p w14:paraId="69DA96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如意外事故或特大自然灾害等情况可能导致试验结果丧失总结价值时，承试</w:t>
      </w:r>
      <w:r>
        <w:rPr>
          <w:rFonts w:hint="eastAsia" w:ascii="仿宋_GB2312" w:hAnsi="仿宋_GB2312" w:eastAsia="仿宋_GB2312" w:cs="仿宋_GB2312"/>
          <w:b w:val="0"/>
          <w:bCs w:val="0"/>
          <w:sz w:val="32"/>
          <w:szCs w:val="32"/>
          <w:highlight w:val="none"/>
        </w:rPr>
        <w:t>单位应于事故或灾害发生后在内蒙古农作物品种区域试验系统及时填报情况说明（附现场照片），并</w:t>
      </w:r>
      <w:r>
        <w:rPr>
          <w:rFonts w:hint="eastAsia" w:ascii="仿宋_GB2312" w:hAnsi="仿宋_GB2312" w:eastAsia="仿宋_GB2312" w:cs="仿宋_GB2312"/>
          <w:b w:val="0"/>
          <w:bCs w:val="0"/>
          <w:sz w:val="32"/>
          <w:szCs w:val="32"/>
          <w:highlight w:val="none"/>
          <w:lang w:val="en-US" w:eastAsia="zh-CN"/>
        </w:rPr>
        <w:t>在</w:t>
      </w:r>
      <w:r>
        <w:rPr>
          <w:rFonts w:hint="eastAsia" w:ascii="仿宋_GB2312" w:hAnsi="仿宋_GB2312" w:eastAsia="仿宋_GB2312" w:cs="仿宋_GB2312"/>
          <w:b w:val="0"/>
          <w:bCs w:val="0"/>
          <w:sz w:val="32"/>
          <w:szCs w:val="32"/>
        </w:rPr>
        <w:t>3天内</w:t>
      </w:r>
      <w:r>
        <w:rPr>
          <w:rFonts w:hint="eastAsia" w:ascii="仿宋_GB2312" w:hAnsi="仿宋_GB2312" w:eastAsia="仿宋_GB2312" w:cs="仿宋_GB2312"/>
          <w:b w:val="0"/>
          <w:bCs w:val="0"/>
          <w:sz w:val="32"/>
          <w:szCs w:val="32"/>
          <w:lang w:val="en-US" w:eastAsia="zh-CN"/>
        </w:rPr>
        <w:t>告知</w:t>
      </w:r>
      <w:r>
        <w:rPr>
          <w:rFonts w:hint="eastAsia" w:ascii="仿宋_GB2312" w:hAnsi="仿宋_GB2312" w:eastAsia="仿宋_GB2312" w:cs="仿宋_GB2312"/>
          <w:b w:val="0"/>
          <w:bCs w:val="0"/>
          <w:sz w:val="32"/>
          <w:szCs w:val="32"/>
        </w:rPr>
        <w:t>试验组织单位</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主持单位。</w:t>
      </w:r>
    </w:p>
    <w:p w14:paraId="78C734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（二）重发性抗性图片档案上报</w:t>
      </w:r>
    </w:p>
    <w:p w14:paraId="62A45B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出现丝黑穗病＞40%、茎腐病＞40%、粒腐率＞2.0%、穗腐率</w:t>
      </w:r>
      <w:r>
        <w:rPr>
          <w:rFonts w:hint="eastAsia" w:ascii="仿宋_GB2312" w:hAnsi="仿宋_GB2312" w:eastAsia="仿宋_GB2312" w:cs="仿宋_GB2312"/>
          <w:b w:val="0"/>
          <w:bCs w:val="0"/>
          <w:sz w:val="32"/>
          <w:szCs w:val="32"/>
        </w:rPr>
        <w:t>＞10.0%、大斑高感（9级）、灰斑高感（9级）、倒伏倒折和＞50%等极值时，必须及时拍取相应照片存档（1～3M），</w:t>
      </w:r>
      <w:r>
        <w:rPr>
          <w:rFonts w:hint="eastAsia" w:ascii="仿宋_GB2312" w:hAnsi="仿宋_GB2312" w:eastAsia="仿宋_GB2312" w:cs="仿宋_GB2312"/>
          <w:b w:val="0"/>
          <w:bCs w:val="0"/>
          <w:sz w:val="32"/>
          <w:szCs w:val="32"/>
          <w:highlight w:val="none"/>
        </w:rPr>
        <w:t>在内蒙古农作物品种区域试验系统填报情况说明（附照片）并</w:t>
      </w:r>
      <w:r>
        <w:rPr>
          <w:rFonts w:hint="eastAsia" w:ascii="仿宋_GB2312" w:hAnsi="仿宋_GB2312" w:eastAsia="仿宋_GB2312" w:cs="仿宋_GB2312"/>
          <w:b w:val="0"/>
          <w:bCs w:val="0"/>
          <w:sz w:val="32"/>
          <w:szCs w:val="32"/>
        </w:rPr>
        <w:t>在3天内告知试验组织单位和主持</w:t>
      </w:r>
      <w:r>
        <w:rPr>
          <w:rFonts w:hint="eastAsia" w:ascii="仿宋_GB2312" w:hAnsi="仿宋_GB2312" w:eastAsia="仿宋_GB2312" w:cs="仿宋_GB2312"/>
          <w:b w:val="0"/>
          <w:bCs w:val="0"/>
          <w:sz w:val="32"/>
          <w:szCs w:val="32"/>
          <w:lang w:val="en-US" w:eastAsia="zh-CN"/>
        </w:rPr>
        <w:t>单位</w:t>
      </w:r>
      <w:r>
        <w:rPr>
          <w:rFonts w:hint="eastAsia" w:ascii="仿宋_GB2312" w:hAnsi="仿宋_GB2312" w:eastAsia="仿宋_GB2312" w:cs="仿宋_GB2312"/>
          <w:b w:val="0"/>
          <w:bCs w:val="0"/>
          <w:sz w:val="32"/>
          <w:szCs w:val="32"/>
        </w:rPr>
        <w:t>，以便核实、确认。</w:t>
      </w:r>
    </w:p>
    <w:p w14:paraId="6AE214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（三）特异数据处理</w:t>
      </w:r>
    </w:p>
    <w:p w14:paraId="6B56E4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试验结果汇总时，主持单位要认真按照特异数据处理办法进行核对，发现明显弄虚作假数据，有权淘汰错误数据或试点试验结果，并形成处理意见上报试验组织单位。</w:t>
      </w:r>
    </w:p>
    <w:p w14:paraId="620EB6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因特殊气候原因造成对照品种出现显著减产（比组均值减产≥5%）时，对照产量以组均值进行计算。</w:t>
      </w:r>
    </w:p>
    <w:p w14:paraId="02CFDE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产量增产幅度大于20%以上时，各试点应在总结报告中说明原因，否则本点本品种测试结果报废。</w:t>
      </w:r>
    </w:p>
    <w:p w14:paraId="63C956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九、试验监督与管理</w:t>
      </w:r>
    </w:p>
    <w:p w14:paraId="4018B7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ascii="Times New Roman" w:hAnsi="Times New Roman" w:eastAsia="仿宋_GB2312" w:cs="Times New Roman"/>
          <w:sz w:val="32"/>
          <w:szCs w:val="32"/>
          <w:highlight w:val="none"/>
        </w:rPr>
        <w:t>试验</w:t>
      </w:r>
      <w:r>
        <w:rPr>
          <w:rFonts w:hint="eastAsia" w:ascii="Times New Roman" w:hAnsi="Times New Roman" w:eastAsia="仿宋_GB2312" w:cs="Times New Roman"/>
          <w:sz w:val="32"/>
          <w:szCs w:val="32"/>
          <w:highlight w:val="none"/>
          <w:lang w:val="en-US" w:eastAsia="zh-CN"/>
        </w:rPr>
        <w:t>组织</w:t>
      </w:r>
      <w:r>
        <w:rPr>
          <w:rFonts w:ascii="Times New Roman" w:hAnsi="Times New Roman" w:eastAsia="仿宋_GB2312" w:cs="Times New Roman"/>
          <w:sz w:val="32"/>
          <w:szCs w:val="32"/>
          <w:highlight w:val="none"/>
        </w:rPr>
        <w:t>部门组织</w:t>
      </w:r>
      <w:r>
        <w:rPr>
          <w:rFonts w:hint="eastAsia" w:ascii="Times New Roman" w:hAnsi="Times New Roman" w:eastAsia="仿宋_GB2312" w:cs="Times New Roman"/>
          <w:sz w:val="32"/>
          <w:szCs w:val="32"/>
          <w:highlight w:val="none"/>
          <w:lang w:val="en-US" w:eastAsia="zh-CN"/>
        </w:rPr>
        <w:t>开展品种试验检查</w:t>
      </w:r>
      <w:r>
        <w:rPr>
          <w:rFonts w:ascii="Times New Roman" w:hAnsi="Times New Roman" w:eastAsia="仿宋_GB2312" w:cs="Times New Roman"/>
          <w:sz w:val="32"/>
          <w:szCs w:val="32"/>
          <w:highlight w:val="none"/>
        </w:rPr>
        <w:t>，对</w:t>
      </w:r>
      <w:r>
        <w:rPr>
          <w:rFonts w:hint="eastAsia" w:ascii="Times New Roman" w:hAnsi="Times New Roman" w:eastAsia="仿宋_GB2312" w:cs="Times New Roman"/>
          <w:sz w:val="32"/>
          <w:szCs w:val="32"/>
          <w:highlight w:val="none"/>
          <w:lang w:val="en-US" w:eastAsia="zh-CN"/>
        </w:rPr>
        <w:t>试验</w:t>
      </w:r>
      <w:r>
        <w:rPr>
          <w:rFonts w:hint="eastAsia" w:ascii="Times New Roman" w:hAnsi="Times New Roman" w:eastAsia="仿宋_GB2312"/>
          <w:color w:val="000000"/>
          <w:spacing w:val="0"/>
          <w:kern w:val="0"/>
          <w:sz w:val="32"/>
          <w:szCs w:val="32"/>
          <w:lang w:val="en-US" w:eastAsia="zh-CN"/>
        </w:rPr>
        <w:t>方案落实情况、试验质量、试验档案等方面内容开展综合评价</w:t>
      </w:r>
      <w:r>
        <w:rPr>
          <w:rFonts w:hint="eastAsia" w:ascii="仿宋_GB2312" w:hAnsi="仿宋_GB2312" w:eastAsia="仿宋_GB2312" w:cs="仿宋_GB2312"/>
          <w:sz w:val="32"/>
          <w:szCs w:val="32"/>
        </w:rPr>
        <w:t>，试验主持单位应在关键生育节点到各试点进行技术指导、试验考察。考察、检查过程中，淘汰田间存在生产安全隐患的参试品种，及时发现问题，提出改进意见。</w:t>
      </w:r>
    </w:p>
    <w:p w14:paraId="14152E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承试单位有弄虚作假、徇私舞弊、玩忽职守行为的，承试单位试验数据连续2年出现报废的，一经查证属实，取消其所在单位的承试资格。</w:t>
      </w:r>
    </w:p>
    <w:p w14:paraId="24D564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内蒙古自治区品种试验监督电话：0471-6285043</w:t>
      </w:r>
    </w:p>
    <w:p w14:paraId="3C7A5F0D">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p>
    <w:p w14:paraId="0E2FE3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：1.202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年内蒙古自治区普通玉米品种试验承试单位</w:t>
      </w:r>
    </w:p>
    <w:p w14:paraId="4B133337">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年内蒙古自治区普通玉米品种试验参试品种</w:t>
      </w:r>
    </w:p>
    <w:p w14:paraId="374E1325">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年内蒙古自治区普通玉米品种试验对照品种</w:t>
      </w:r>
    </w:p>
    <w:p w14:paraId="65946644">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供种单位</w:t>
      </w:r>
    </w:p>
    <w:p w14:paraId="5C53C6C2">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年内蒙古自治区普通玉米品种试验检测单位</w:t>
      </w:r>
    </w:p>
    <w:p w14:paraId="6F86F2AF">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rPr>
      </w:pPr>
    </w:p>
    <w:p w14:paraId="261C0DCC">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rPr>
      </w:pPr>
    </w:p>
    <w:p w14:paraId="4E260A9E">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rPr>
      </w:pPr>
    </w:p>
    <w:p w14:paraId="273B0F93">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rPr>
      </w:pPr>
    </w:p>
    <w:p w14:paraId="450704FA">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rPr>
      </w:pPr>
    </w:p>
    <w:p w14:paraId="2307AD87">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rPr>
      </w:pPr>
    </w:p>
    <w:p w14:paraId="6683692B">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sz w:val="32"/>
          <w:szCs w:val="32"/>
        </w:rPr>
      </w:pPr>
    </w:p>
    <w:p w14:paraId="48124F48">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sectPr>
          <w:footerReference r:id="rId3" w:type="default"/>
          <w:pgSz w:w="11906" w:h="16838"/>
          <w:pgMar w:top="2098" w:right="1474" w:bottom="1984" w:left="1587" w:header="851" w:footer="1644"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14:paraId="3A277C0E">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p>
    <w:sectPr>
      <w:footerReference r:id="rId4" w:type="default"/>
      <w:pgSz w:w="16838" w:h="11906" w:orient="landscape"/>
      <w:pgMar w:top="1587" w:right="2098" w:bottom="1474" w:left="1984" w:header="851" w:footer="1644"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F494D7-0179-442D-861B-09F3F40397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1A1AECCB-CDC9-49CC-B587-0C4637165F47}"/>
  </w:font>
  <w:font w:name="仿宋_GB2312">
    <w:panose1 w:val="02010609030101010101"/>
    <w:charset w:val="86"/>
    <w:family w:val="modern"/>
    <w:pitch w:val="default"/>
    <w:sig w:usb0="00000001" w:usb1="080E0000" w:usb2="00000000" w:usb3="00000000" w:csb0="00040000" w:csb1="00000000"/>
    <w:embedRegular r:id="rId3" w:fontKey="{F61B3FC0-D672-4850-BDAE-CD8409B1B486}"/>
  </w:font>
  <w:font w:name="楷体_GB2312">
    <w:panose1 w:val="02010609030101010101"/>
    <w:charset w:val="86"/>
    <w:family w:val="auto"/>
    <w:pitch w:val="default"/>
    <w:sig w:usb0="00000001" w:usb1="080E0000" w:usb2="00000000" w:usb3="00000000" w:csb0="00040000" w:csb1="00000000"/>
    <w:embedRegular r:id="rId4" w:fontKey="{F4AD9FD1-E73A-4B4D-BAEC-38847500B949}"/>
  </w:font>
  <w:font w:name="仿宋">
    <w:panose1 w:val="02010609060101010101"/>
    <w:charset w:val="86"/>
    <w:family w:val="modern"/>
    <w:pitch w:val="default"/>
    <w:sig w:usb0="800002BF" w:usb1="38CF7CFA" w:usb2="00000016" w:usb3="00000000" w:csb0="00040001" w:csb1="00000000"/>
    <w:embedRegular r:id="rId5" w:fontKey="{EB3ADF82-BD52-4CB5-8A67-D24E0E5AF8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3B673">
    <w:pPr>
      <w:spacing w:before="120"/>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F697A">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BF697A">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C12BA">
    <w:pPr>
      <w:spacing w:before="120"/>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9E82F">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E9E82F">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OGEzODM5NjhkMTJkZmFhMDFjNjIwMGZkYzVkYWUifQ=="/>
  </w:docVars>
  <w:rsids>
    <w:rsidRoot w:val="291152C8"/>
    <w:rsid w:val="001A34E5"/>
    <w:rsid w:val="002046D1"/>
    <w:rsid w:val="005E3B75"/>
    <w:rsid w:val="00697525"/>
    <w:rsid w:val="007E658F"/>
    <w:rsid w:val="009512EB"/>
    <w:rsid w:val="00BE17AC"/>
    <w:rsid w:val="00CE4359"/>
    <w:rsid w:val="00D95FAD"/>
    <w:rsid w:val="00E64D0E"/>
    <w:rsid w:val="01CA1BFC"/>
    <w:rsid w:val="01E30724"/>
    <w:rsid w:val="02F32963"/>
    <w:rsid w:val="04E76A6D"/>
    <w:rsid w:val="0502000C"/>
    <w:rsid w:val="05CD3091"/>
    <w:rsid w:val="06353C4E"/>
    <w:rsid w:val="071B0ED9"/>
    <w:rsid w:val="0A577CFA"/>
    <w:rsid w:val="0B1541A5"/>
    <w:rsid w:val="0D34337C"/>
    <w:rsid w:val="0F3F5F11"/>
    <w:rsid w:val="1247454E"/>
    <w:rsid w:val="12AF51B7"/>
    <w:rsid w:val="13DB31F0"/>
    <w:rsid w:val="15FA3362"/>
    <w:rsid w:val="15FF18F4"/>
    <w:rsid w:val="1652565A"/>
    <w:rsid w:val="16A11F44"/>
    <w:rsid w:val="18417C47"/>
    <w:rsid w:val="1CA247C8"/>
    <w:rsid w:val="1EFE4145"/>
    <w:rsid w:val="1F212F73"/>
    <w:rsid w:val="1FE93107"/>
    <w:rsid w:val="22543660"/>
    <w:rsid w:val="22947723"/>
    <w:rsid w:val="236A2989"/>
    <w:rsid w:val="254C5050"/>
    <w:rsid w:val="2604539D"/>
    <w:rsid w:val="2671467C"/>
    <w:rsid w:val="273A147D"/>
    <w:rsid w:val="291152C8"/>
    <w:rsid w:val="296A2727"/>
    <w:rsid w:val="2A511D9D"/>
    <w:rsid w:val="2AC563B9"/>
    <w:rsid w:val="2B9442BC"/>
    <w:rsid w:val="33AA2D27"/>
    <w:rsid w:val="33CF21DD"/>
    <w:rsid w:val="34CD34EB"/>
    <w:rsid w:val="34D3649C"/>
    <w:rsid w:val="39742B30"/>
    <w:rsid w:val="39E35860"/>
    <w:rsid w:val="3A3E196F"/>
    <w:rsid w:val="3ABD3DC3"/>
    <w:rsid w:val="3B65138C"/>
    <w:rsid w:val="403B36D4"/>
    <w:rsid w:val="43A649F7"/>
    <w:rsid w:val="45B375E6"/>
    <w:rsid w:val="45B6399E"/>
    <w:rsid w:val="4767639B"/>
    <w:rsid w:val="48D369FC"/>
    <w:rsid w:val="48FA4938"/>
    <w:rsid w:val="4ABA356E"/>
    <w:rsid w:val="4B7D7FA0"/>
    <w:rsid w:val="4C9E0095"/>
    <w:rsid w:val="506B42CE"/>
    <w:rsid w:val="508761BE"/>
    <w:rsid w:val="513D478D"/>
    <w:rsid w:val="531A6B64"/>
    <w:rsid w:val="54210D44"/>
    <w:rsid w:val="542C5E58"/>
    <w:rsid w:val="547717E7"/>
    <w:rsid w:val="571D4EF4"/>
    <w:rsid w:val="58191839"/>
    <w:rsid w:val="5B0C0BE6"/>
    <w:rsid w:val="5E6111BF"/>
    <w:rsid w:val="5F5E3375"/>
    <w:rsid w:val="60111ACC"/>
    <w:rsid w:val="62184B2A"/>
    <w:rsid w:val="65850DCC"/>
    <w:rsid w:val="697B0538"/>
    <w:rsid w:val="6BA5038A"/>
    <w:rsid w:val="6C0F24BB"/>
    <w:rsid w:val="6D3B416E"/>
    <w:rsid w:val="6EE3137F"/>
    <w:rsid w:val="704B5D09"/>
    <w:rsid w:val="734844B1"/>
    <w:rsid w:val="76CD38F2"/>
    <w:rsid w:val="77AB7C91"/>
    <w:rsid w:val="77F121A5"/>
    <w:rsid w:val="78E037DD"/>
    <w:rsid w:val="78E3378A"/>
    <w:rsid w:val="7B3E2F12"/>
    <w:rsid w:val="7F903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99"/>
    <w:pPr>
      <w:tabs>
        <w:tab w:val="center" w:pos="4153"/>
        <w:tab w:val="right" w:pos="8306"/>
      </w:tabs>
      <w:snapToGrid w:val="0"/>
      <w:jc w:val="left"/>
    </w:pPr>
    <w:rPr>
      <w:sz w:val="18"/>
      <w:szCs w:val="18"/>
    </w:rPr>
  </w:style>
  <w:style w:type="paragraph" w:styleId="3">
    <w:name w:val="header"/>
    <w:basedOn w:val="1"/>
    <w:link w:val="1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autoRedefine/>
    <w:qFormat/>
    <w:uiPriority w:val="0"/>
    <w:rPr>
      <w:color w:val="0000FF"/>
      <w:u w:val="single"/>
    </w:rPr>
  </w:style>
  <w:style w:type="character" w:customStyle="1" w:styleId="9">
    <w:name w:val="页脚 Char"/>
    <w:basedOn w:val="7"/>
    <w:link w:val="2"/>
    <w:autoRedefine/>
    <w:qFormat/>
    <w:uiPriority w:val="99"/>
    <w:rPr>
      <w:rFonts w:asciiTheme="minorHAnsi" w:hAnsiTheme="minorHAnsi" w:eastAsiaTheme="minorEastAsia" w:cstheme="minorBidi"/>
      <w:kern w:val="2"/>
      <w:sz w:val="18"/>
      <w:szCs w:val="18"/>
    </w:rPr>
  </w:style>
  <w:style w:type="paragraph" w:styleId="10">
    <w:name w:val="No Spacing"/>
    <w:link w:val="11"/>
    <w:autoRedefine/>
    <w:qFormat/>
    <w:uiPriority w:val="1"/>
    <w:rPr>
      <w:rFonts w:asciiTheme="minorHAnsi" w:hAnsiTheme="minorHAnsi" w:eastAsiaTheme="minorEastAsia" w:cstheme="minorBidi"/>
      <w:sz w:val="22"/>
      <w:szCs w:val="22"/>
      <w:lang w:val="en-US" w:eastAsia="zh-CN" w:bidi="ar-SA"/>
    </w:rPr>
  </w:style>
  <w:style w:type="character" w:customStyle="1" w:styleId="11">
    <w:name w:val="无间隔 Char"/>
    <w:basedOn w:val="7"/>
    <w:link w:val="10"/>
    <w:autoRedefine/>
    <w:qFormat/>
    <w:uiPriority w:val="1"/>
    <w:rPr>
      <w:rFonts w:asciiTheme="minorHAnsi" w:hAnsiTheme="minorHAnsi" w:eastAsiaTheme="minorEastAsia" w:cstheme="minorBidi"/>
      <w:sz w:val="22"/>
      <w:szCs w:val="22"/>
    </w:rPr>
  </w:style>
  <w:style w:type="character" w:customStyle="1" w:styleId="12">
    <w:name w:val="页眉 Char"/>
    <w:basedOn w:val="7"/>
    <w:link w:val="3"/>
    <w:autoRedefine/>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5458</Words>
  <Characters>5889</Characters>
  <Lines>43</Lines>
  <Paragraphs>12</Paragraphs>
  <TotalTime>5</TotalTime>
  <ScaleCrop>false</ScaleCrop>
  <LinksUpToDate>false</LinksUpToDate>
  <CharactersWithSpaces>6821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2024-03-08T00:16:00Z</dcterms:created>
  <dc:creator>Xin Li</dc:creator>
  <cp:lastModifiedBy>孙宇燕</cp:lastModifiedBy>
  <cp:lastPrinted>2025-03-19T07:33:00Z</cp:lastPrinted>
  <dcterms:modified xsi:type="dcterms:W3CDTF">2025-03-21T09:39:01Z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17E5D7BB77864415A2D13D02E2E2998D_13</vt:lpwstr>
  </property>
  <property fmtid="{D5CDD505-2E9C-101B-9397-08002B2CF9AE}" pid="4" name="KSOTemplateDocerSaveRecord">
    <vt:lpwstr>eyJoZGlkIjoiOGY0MjZlMTlkOTFlNDEwODQ4ODA5YmJmODI2Mjk0ZjYiLCJ1c2VySWQiOiIxMjA3MDU5ODM3In0=</vt:lpwstr>
  </property>
</Properties>
</file>